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FEA377" w14:textId="77777777" w:rsidR="00DC6614" w:rsidRDefault="00DC6614" w:rsidP="00DC6614">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bookmarkStart w:id="0" w:name="_Hlk34951392"/>
      <w:bookmarkEnd w:id="0"/>
    </w:p>
    <w:p w14:paraId="32D1E16D" w14:textId="77777777" w:rsidR="00DC6614" w:rsidRDefault="000603E8" w:rsidP="008B52DA">
      <w:pPr>
        <w:pStyle w:val="NormalWeb"/>
        <w:spacing w:before="0" w:beforeAutospacing="0" w:after="0" w:afterAutospacing="0"/>
      </w:pPr>
      <w:r>
        <w:rPr>
          <w:noProof/>
        </w:rPr>
        <mc:AlternateContent>
          <mc:Choice Requires="wps">
            <w:drawing>
              <wp:anchor distT="0" distB="0" distL="114300" distR="114300" simplePos="0" relativeHeight="251664384" behindDoc="0" locked="0" layoutInCell="1" allowOverlap="1" wp14:anchorId="18952679" wp14:editId="2CF1AE60">
                <wp:simplePos x="0" y="0"/>
                <wp:positionH relativeFrom="column">
                  <wp:posOffset>-925357</wp:posOffset>
                </wp:positionH>
                <wp:positionV relativeFrom="paragraph">
                  <wp:posOffset>170180</wp:posOffset>
                </wp:positionV>
                <wp:extent cx="7799705" cy="0"/>
                <wp:effectExtent l="0" t="0" r="10795" b="19050"/>
                <wp:wrapNone/>
                <wp:docPr id="224" name="Straight Connector 224"/>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24" o:spid="_x0000_s1025" style="mso-width-percent:0;mso-width-relative:margin;mso-wrap-distance-bottom:0;mso-wrap-distance-left:9pt;mso-wrap-distance-right:9pt;mso-wrap-distance-top:0;mso-wrap-style:square;position:absolute;visibility:visible;z-index:251665408" from="-72.85pt,13.4pt" to="541.3pt,13.4pt" strokecolor="gray">
                <v:stroke joinstyle="miter" dashstyle="dash" opacity="26214f"/>
              </v:line>
            </w:pict>
          </mc:Fallback>
        </mc:AlternateContent>
      </w:r>
      <w:sdt>
        <w:sdtPr>
          <w:id w:val="291916034"/>
          <w:lock w:val="sdtContentLocked"/>
          <w:placeholder>
            <w:docPart w:val="2B5077365DF146ABA5CE4D9E2C529DF8"/>
          </w:placeholder>
          <w:showingPlcHdr/>
        </w:sdtPr>
        <w:sdtEndPr/>
        <w:sdtContent>
          <w:r>
            <w:t xml:space="preserve"> </w:t>
          </w:r>
        </w:sdtContent>
      </w:sdt>
    </w:p>
    <w:p w14:paraId="38C1DA3B" w14:textId="77777777" w:rsidR="00DC6614" w:rsidRDefault="00DC6614" w:rsidP="003F532E">
      <w:pPr>
        <w:pStyle w:val="Normal0"/>
        <w:spacing w:after="0" w:line="14" w:lineRule="exact"/>
        <w:sectPr w:rsidR="00DC6614" w:rsidSect="00DC6614">
          <w:headerReference w:type="default" r:id="rId11"/>
          <w:footerReference w:type="default" r:id="rId12"/>
          <w:type w:val="continuous"/>
          <w:pgSz w:w="12240" w:h="15840"/>
          <w:pgMar w:top="1440" w:right="720" w:bottom="1440" w:left="720" w:header="720" w:footer="720" w:gutter="0"/>
          <w:pgNumType w:start="1"/>
          <w:cols w:space="720"/>
          <w:docGrid w:linePitch="360"/>
        </w:sectPr>
      </w:pPr>
    </w:p>
    <w:sdt>
      <w:sdtPr>
        <w:tag w:val="OPS_CORE_DATA_BLOCK"/>
        <w:id w:val="1327904632"/>
        <w:lock w:val="sdtContentLocked"/>
        <w:placeholder>
          <w:docPart w:val="DefaultPlaceholder_22675703"/>
        </w:placeholder>
        <w:group/>
      </w:sdtPr>
      <w:sdtEndPr/>
      <w:sdtContent>
        <w:sdt>
          <w:sdtPr>
            <w:tag w:val="OPS_CORE_SECTION_START_1"/>
            <w:id w:val="1070022318"/>
            <w:lock w:val="sdtContentLocked"/>
            <w:placeholder>
              <w:docPart w:val="45A6C11EB4EC4383BC65743B82AA330A"/>
            </w:placeholder>
          </w:sdtPr>
          <w:sdtEndPr/>
          <w:sdtContent>
            <w:p w14:paraId="7FDDD5C8" w14:textId="77777777" w:rsidR="00DC6614" w:rsidRDefault="000603E8" w:rsidP="00C43B7D">
              <w:pPr>
                <w:pStyle w:val="Normal0"/>
                <w:spacing w:after="0" w:line="14" w:lineRule="exact"/>
              </w:pPr>
              <w:r>
                <w:t xml:space="preserve"> </w:t>
              </w:r>
            </w:p>
          </w:sdtContent>
        </w:sdt>
        <w:p w14:paraId="7C5F5D60" w14:textId="77777777" w:rsidR="00CC0A9A" w:rsidRPr="00DC6614" w:rsidRDefault="00CC0A9A" w:rsidP="00C43B7D">
          <w:pPr>
            <w:pStyle w:val="NormalWeb"/>
            <w:spacing w:before="0" w:beforeAutospacing="0" w:after="0" w:afterAutospacing="0" w:line="14" w:lineRule="exact"/>
            <w:rPr>
              <w:rFonts w:asciiTheme="minorHAnsi" w:hAnsiTheme="minorHAnsi" w:cstheme="minorBidi"/>
              <w:bCs/>
              <w:color w:val="262626" w:themeColor="text1" w:themeTint="D9"/>
              <w:kern w:val="24"/>
              <w:sz w:val="22"/>
              <w:szCs w:val="22"/>
            </w:rPr>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B649D6" w14:paraId="7820B748" w14:textId="77777777" w:rsidTr="00662E77">
            <w:trPr>
              <w:trHeight w:val="4158"/>
            </w:trPr>
            <w:tc>
              <w:tcPr>
                <w:tcW w:w="10800" w:type="dxa"/>
                <w:shd w:val="clear" w:color="auto" w:fill="F7F7F7"/>
              </w:tcPr>
              <w:p w14:paraId="718E38AA" w14:textId="77777777" w:rsidR="00702B05" w:rsidRPr="008D2AF0" w:rsidRDefault="00702B05"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r w:rsidR="00B649D6" w14:paraId="7D3DA3E3" w14:textId="77777777" w:rsidTr="00662E77">
            <w:tc>
              <w:tcPr>
                <w:tcW w:w="10800" w:type="dxa"/>
                <w:shd w:val="clear" w:color="auto" w:fill="F7F7F7"/>
              </w:tcPr>
              <w:p w14:paraId="1A244A28" w14:textId="77777777" w:rsidR="008D2AF0" w:rsidRPr="008D2AF0" w:rsidRDefault="000603E8" w:rsidP="008D2AF0">
                <w:pPr>
                  <w:pStyle w:val="NormalWeb"/>
                  <w:spacing w:before="0" w:beforeAutospacing="0" w:after="0" w:afterAutospacing="0"/>
                  <w:jc w:val="center"/>
                  <w:rPr>
                    <w:rFonts w:asciiTheme="minorHAnsi" w:hAnsiTheme="minorHAnsi" w:cstheme="minorBidi"/>
                    <w:bCs/>
                    <w:kern w:val="24"/>
                    <w:sz w:val="22"/>
                    <w:szCs w:val="22"/>
                  </w:rPr>
                </w:pPr>
                <w:r w:rsidRPr="00C7746D">
                  <w:rPr>
                    <w:rFonts w:asciiTheme="minorHAnsi" w:hAnsiTheme="minorHAnsi" w:cstheme="minorBidi"/>
                    <w:bCs/>
                    <w:kern w:val="24"/>
                    <w:sz w:val="48"/>
                    <w:szCs w:val="48"/>
                  </w:rPr>
                  <w:t xml:space="preserve">Project </w:t>
                </w:r>
                <w:r>
                  <w:rPr>
                    <w:rFonts w:asciiTheme="minorHAnsi" w:hAnsiTheme="minorHAnsi" w:cstheme="minorBidi"/>
                    <w:bCs/>
                    <w:kern w:val="24"/>
                    <w:sz w:val="48"/>
                    <w:szCs w:val="48"/>
                  </w:rPr>
                  <w:t xml:space="preserve">Information Document </w:t>
                </w:r>
                <w:r w:rsidRPr="00C7746D">
                  <w:rPr>
                    <w:rFonts w:asciiTheme="minorHAnsi" w:hAnsiTheme="minorHAnsi" w:cstheme="minorBidi"/>
                    <w:bCs/>
                    <w:kern w:val="24"/>
                    <w:sz w:val="48"/>
                    <w:szCs w:val="48"/>
                  </w:rPr>
                  <w:t>(PID)</w:t>
                </w:r>
              </w:p>
            </w:tc>
          </w:tr>
          <w:tr w:rsidR="00B649D6" w14:paraId="6B40ED6A" w14:textId="77777777" w:rsidTr="00662E77">
            <w:trPr>
              <w:trHeight w:val="1089"/>
            </w:trPr>
            <w:tc>
              <w:tcPr>
                <w:tcW w:w="10800" w:type="dxa"/>
                <w:shd w:val="clear" w:color="auto" w:fill="F7F7F7"/>
              </w:tcPr>
              <w:p w14:paraId="40C546FB" w14:textId="77777777" w:rsidR="00662E77" w:rsidRPr="008D2AF0" w:rsidRDefault="00662E77" w:rsidP="008D2AF0">
                <w:pPr>
                  <w:pStyle w:val="NormalWeb"/>
                  <w:spacing w:before="0" w:beforeAutospacing="0" w:after="0" w:afterAutospacing="0"/>
                  <w:jc w:val="center"/>
                  <w:rPr>
                    <w:rFonts w:asciiTheme="minorHAnsi" w:hAnsiTheme="minorHAnsi" w:cstheme="minorBidi"/>
                    <w:bCs/>
                    <w:color w:val="262626" w:themeColor="text1" w:themeTint="D9"/>
                    <w:kern w:val="24"/>
                    <w:sz w:val="44"/>
                    <w:szCs w:val="44"/>
                  </w:rPr>
                </w:pPr>
              </w:p>
            </w:tc>
          </w:tr>
        </w:tbl>
        <w:p w14:paraId="34E0DA5E" w14:textId="77777777" w:rsidR="00702B05" w:rsidRDefault="000603E8" w:rsidP="00662E77">
          <w:pPr>
            <w:shd w:val="clear" w:color="auto" w:fill="F7F7F7"/>
            <w:spacing w:after="0" w:line="240" w:lineRule="auto"/>
            <w:ind w:left="-691" w:right="-691"/>
            <w:rPr>
              <w:sz w:val="20"/>
            </w:rPr>
          </w:pPr>
          <w:r w:rsidRPr="008D2AF0">
            <w:rPr>
              <w:noProof/>
              <w:sz w:val="24"/>
            </w:rPr>
            <mc:AlternateContent>
              <mc:Choice Requires="wps">
                <w:drawing>
                  <wp:anchor distT="0" distB="0" distL="114300" distR="114300" simplePos="0" relativeHeight="251659264" behindDoc="0" locked="0" layoutInCell="1" allowOverlap="1" wp14:anchorId="4EBB581D" wp14:editId="04303611">
                    <wp:simplePos x="0" y="0"/>
                    <wp:positionH relativeFrom="column">
                      <wp:posOffset>-367665</wp:posOffset>
                    </wp:positionH>
                    <wp:positionV relativeFrom="paragraph">
                      <wp:posOffset>51327</wp:posOffset>
                    </wp:positionV>
                    <wp:extent cx="66960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696075" cy="0"/>
                            </a:xfrm>
                            <a:prstGeom prst="line">
                              <a:avLst/>
                            </a:prstGeom>
                            <a:ln>
                              <a:solidFill>
                                <a:schemeClr val="tx2">
                                  <a:lumMod val="40000"/>
                                  <a:lumOff val="6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id="Straight Connector 3" o:spid="_x0000_s1026" style="mso-height-percent:0;mso-height-relative:page;mso-width-percent:0;mso-width-relative:margin;mso-wrap-distance-bottom:0;mso-wrap-distance-left:9pt;mso-wrap-distance-right:9pt;mso-wrap-distance-top:0;position:absolute;v-text-anchor:top;z-index:251658240" from="-28.95pt,4.04pt" to="498.3pt,4.04pt" fillcolor="this" stroked="t" strokecolor="#acb8ca" strokeweight="0.5pt"/>
                </w:pict>
              </mc:Fallback>
            </mc:AlternateContent>
          </w:r>
        </w:p>
        <w:p w14:paraId="3126207D" w14:textId="77777777" w:rsidR="00CB67F3" w:rsidRDefault="000603E8" w:rsidP="00CB67F3">
          <w:pPr>
            <w:shd w:val="clear" w:color="auto" w:fill="F7F7F7"/>
            <w:spacing w:after="0" w:line="240" w:lineRule="auto"/>
            <w:ind w:left="-691" w:right="-691"/>
            <w:jc w:val="center"/>
            <w:rPr>
              <w:sz w:val="20"/>
            </w:rPr>
          </w:pPr>
          <w:r w:rsidRPr="009C59E4">
            <w:rPr>
              <w:color w:val="595959" w:themeColor="text1" w:themeTint="A6"/>
              <w:szCs w:val="18"/>
            </w:rPr>
            <w:t xml:space="preserve">Appraisal Stage | Date Prepared/Updated: </w:t>
          </w:r>
          <w:r w:rsidR="00792ACB">
            <w:rPr>
              <w:noProof/>
              <w:color w:val="595959" w:themeColor="text1" w:themeTint="A6"/>
              <w:szCs w:val="18"/>
            </w:rPr>
            <w:t>16-Dec-2019</w:t>
          </w:r>
          <w:r w:rsidRPr="009C59E4">
            <w:rPr>
              <w:color w:val="595959" w:themeColor="text1" w:themeTint="A6"/>
              <w:szCs w:val="18"/>
            </w:rPr>
            <w:t xml:space="preserve"> | Report No: </w:t>
          </w:r>
          <w:r w:rsidRPr="009C59E4">
            <w:rPr>
              <w:noProof/>
              <w:color w:val="595959" w:themeColor="text1" w:themeTint="A6"/>
              <w:szCs w:val="18"/>
            </w:rPr>
            <w:t>PIDA26015</w:t>
          </w:r>
        </w:p>
        <w:p w14:paraId="1EB93B2C" w14:textId="77777777" w:rsidR="00CB67F3" w:rsidRDefault="00CB67F3" w:rsidP="00662E77">
          <w:pPr>
            <w:shd w:val="clear" w:color="auto" w:fill="F7F7F7"/>
            <w:spacing w:after="0" w:line="240" w:lineRule="auto"/>
            <w:ind w:left="-691" w:right="-691"/>
            <w:rPr>
              <w:sz w:val="20"/>
            </w:rPr>
          </w:pPr>
        </w:p>
        <w:p w14:paraId="431FBFB5" w14:textId="77777777" w:rsidR="00702B05" w:rsidRDefault="00702B05" w:rsidP="00662E77">
          <w:pPr>
            <w:shd w:val="clear" w:color="auto" w:fill="F7F7F7"/>
            <w:spacing w:after="0" w:line="240" w:lineRule="auto"/>
            <w:ind w:left="-691" w:right="-691"/>
            <w:rPr>
              <w:sz w:val="20"/>
            </w:rPr>
          </w:pPr>
        </w:p>
        <w:p w14:paraId="340A497D" w14:textId="77777777" w:rsidR="00CB67F3" w:rsidRDefault="00CB67F3" w:rsidP="00662E77">
          <w:pPr>
            <w:shd w:val="clear" w:color="auto" w:fill="F7F7F7"/>
            <w:spacing w:after="0" w:line="240" w:lineRule="auto"/>
            <w:ind w:left="-691" w:right="-691"/>
            <w:rPr>
              <w:sz w:val="20"/>
            </w:rPr>
          </w:pPr>
        </w:p>
        <w:p w14:paraId="09B205DF" w14:textId="77777777" w:rsidR="00CB67F3" w:rsidRDefault="00CB67F3" w:rsidP="00662E77">
          <w:pPr>
            <w:shd w:val="clear" w:color="auto" w:fill="F7F7F7"/>
            <w:spacing w:after="0" w:line="240" w:lineRule="auto"/>
            <w:ind w:left="-691" w:right="-691"/>
            <w:rPr>
              <w:sz w:val="20"/>
            </w:rPr>
          </w:pPr>
        </w:p>
        <w:p w14:paraId="0D97FE1A" w14:textId="77777777" w:rsidR="00CB67F3" w:rsidRDefault="00CB67F3" w:rsidP="00662E77">
          <w:pPr>
            <w:shd w:val="clear" w:color="auto" w:fill="F7F7F7"/>
            <w:spacing w:after="0" w:line="240" w:lineRule="auto"/>
            <w:ind w:left="-691" w:right="-691"/>
            <w:rPr>
              <w:sz w:val="20"/>
            </w:rPr>
          </w:pPr>
        </w:p>
        <w:p w14:paraId="1AFBE6DE" w14:textId="77777777" w:rsidR="00CB67F3" w:rsidRDefault="00CB67F3" w:rsidP="00662E77">
          <w:pPr>
            <w:shd w:val="clear" w:color="auto" w:fill="F7F7F7"/>
            <w:spacing w:after="0" w:line="240" w:lineRule="auto"/>
            <w:ind w:left="-691" w:right="-691"/>
            <w:rPr>
              <w:sz w:val="20"/>
            </w:rPr>
          </w:pPr>
        </w:p>
        <w:p w14:paraId="4CD487B2" w14:textId="77777777" w:rsidR="00CB67F3" w:rsidRDefault="00CB67F3" w:rsidP="00662E77">
          <w:pPr>
            <w:shd w:val="clear" w:color="auto" w:fill="F7F7F7"/>
            <w:spacing w:after="0" w:line="240" w:lineRule="auto"/>
            <w:ind w:left="-691" w:right="-691"/>
            <w:rPr>
              <w:sz w:val="20"/>
            </w:rPr>
          </w:pPr>
        </w:p>
        <w:p w14:paraId="1066A896" w14:textId="77777777" w:rsidR="00CB67F3" w:rsidRDefault="00CB67F3" w:rsidP="00662E77">
          <w:pPr>
            <w:shd w:val="clear" w:color="auto" w:fill="F7F7F7"/>
            <w:spacing w:after="0" w:line="240" w:lineRule="auto"/>
            <w:ind w:left="-691" w:right="-691"/>
            <w:rPr>
              <w:sz w:val="20"/>
            </w:rPr>
          </w:pPr>
        </w:p>
        <w:p w14:paraId="4D5E2BB4" w14:textId="77777777" w:rsidR="00CB67F3" w:rsidRDefault="00CB67F3" w:rsidP="00662E77">
          <w:pPr>
            <w:shd w:val="clear" w:color="auto" w:fill="F7F7F7"/>
            <w:spacing w:after="0" w:line="240" w:lineRule="auto"/>
            <w:ind w:left="-691" w:right="-691"/>
            <w:rPr>
              <w:sz w:val="20"/>
            </w:rPr>
          </w:pPr>
        </w:p>
        <w:p w14:paraId="30BF6E7C" w14:textId="77777777" w:rsidR="00CB67F3" w:rsidRDefault="00CB67F3" w:rsidP="00662E77">
          <w:pPr>
            <w:shd w:val="clear" w:color="auto" w:fill="F7F7F7"/>
            <w:spacing w:after="0" w:line="240" w:lineRule="auto"/>
            <w:ind w:left="-691" w:right="-691"/>
            <w:rPr>
              <w:sz w:val="20"/>
            </w:rPr>
          </w:pPr>
        </w:p>
        <w:p w14:paraId="3AFE5993" w14:textId="77777777" w:rsidR="00CB67F3" w:rsidRDefault="00CB67F3" w:rsidP="00662E77">
          <w:pPr>
            <w:shd w:val="clear" w:color="auto" w:fill="F7F7F7"/>
            <w:spacing w:after="0" w:line="240" w:lineRule="auto"/>
            <w:ind w:left="-691" w:right="-691"/>
            <w:rPr>
              <w:sz w:val="20"/>
            </w:rPr>
          </w:pPr>
        </w:p>
        <w:p w14:paraId="4ABF1DAA" w14:textId="77777777" w:rsidR="00CB67F3" w:rsidRDefault="00CB67F3" w:rsidP="00662E77">
          <w:pPr>
            <w:shd w:val="clear" w:color="auto" w:fill="F7F7F7"/>
            <w:spacing w:after="0" w:line="240" w:lineRule="auto"/>
            <w:ind w:left="-691" w:right="-691"/>
            <w:rPr>
              <w:sz w:val="20"/>
            </w:rPr>
          </w:pPr>
        </w:p>
        <w:p w14:paraId="20E1E49E" w14:textId="77777777" w:rsidR="00CB67F3" w:rsidRDefault="00CB67F3" w:rsidP="00662E77">
          <w:pPr>
            <w:shd w:val="clear" w:color="auto" w:fill="F7F7F7"/>
            <w:spacing w:after="0" w:line="240" w:lineRule="auto"/>
            <w:ind w:left="-691" w:right="-691"/>
            <w:rPr>
              <w:sz w:val="20"/>
            </w:rPr>
          </w:pPr>
        </w:p>
        <w:p w14:paraId="150C3D6B" w14:textId="77777777" w:rsidR="00CB67F3" w:rsidRDefault="00CB67F3" w:rsidP="00662E77">
          <w:pPr>
            <w:shd w:val="clear" w:color="auto" w:fill="F7F7F7"/>
            <w:spacing w:after="0" w:line="240" w:lineRule="auto"/>
            <w:ind w:left="-691" w:right="-691"/>
            <w:rPr>
              <w:sz w:val="20"/>
            </w:rPr>
          </w:pPr>
        </w:p>
        <w:p w14:paraId="119CF84F" w14:textId="77777777" w:rsidR="00CB67F3" w:rsidRDefault="00CB67F3" w:rsidP="00662E77">
          <w:pPr>
            <w:shd w:val="clear" w:color="auto" w:fill="F7F7F7"/>
            <w:spacing w:after="0" w:line="240" w:lineRule="auto"/>
            <w:ind w:left="-691" w:right="-691"/>
            <w:rPr>
              <w:sz w:val="20"/>
            </w:rPr>
          </w:pPr>
        </w:p>
        <w:p w14:paraId="4DEE9849" w14:textId="77777777" w:rsidR="00CB67F3" w:rsidRDefault="00CB67F3" w:rsidP="00662E77">
          <w:pPr>
            <w:shd w:val="clear" w:color="auto" w:fill="F7F7F7"/>
            <w:spacing w:after="0" w:line="240" w:lineRule="auto"/>
            <w:ind w:left="-691" w:right="-691"/>
            <w:rPr>
              <w:sz w:val="20"/>
            </w:rPr>
          </w:pPr>
        </w:p>
        <w:p w14:paraId="5554FB17" w14:textId="77777777" w:rsidR="00CB67F3" w:rsidRDefault="00CB67F3" w:rsidP="00662E77">
          <w:pPr>
            <w:shd w:val="clear" w:color="auto" w:fill="F7F7F7"/>
            <w:spacing w:after="0" w:line="240" w:lineRule="auto"/>
            <w:ind w:left="-691" w:right="-691"/>
            <w:rPr>
              <w:sz w:val="20"/>
            </w:rPr>
          </w:pPr>
        </w:p>
        <w:p w14:paraId="383181A4" w14:textId="77777777" w:rsidR="00702B05" w:rsidRDefault="000603E8" w:rsidP="00662E77">
          <w:pPr>
            <w:shd w:val="clear" w:color="auto" w:fill="F7F7F7"/>
            <w:spacing w:after="0" w:line="240" w:lineRule="auto"/>
            <w:ind w:left="-691" w:right="-691"/>
            <w:rPr>
              <w:sz w:val="20"/>
            </w:rPr>
          </w:pPr>
          <w:r w:rsidRPr="00662E77">
            <w:rPr>
              <w:sz w:val="20"/>
            </w:rPr>
            <w:br w:type="page"/>
          </w:r>
        </w:p>
        <w:tbl>
          <w:tblPr>
            <w:tblStyle w:val="TableGrid35"/>
            <w:tblW w:w="10800" w:type="dxa"/>
            <w:tblInd w:w="-750" w:type="dxa"/>
            <w:shd w:val="clear" w:color="auto" w:fill="F7F7F7"/>
            <w:tblLayout w:type="fixed"/>
            <w:tblLook w:val="04A0" w:firstRow="1" w:lastRow="0" w:firstColumn="1" w:lastColumn="0" w:noHBand="0" w:noVBand="1"/>
          </w:tblPr>
          <w:tblGrid>
            <w:gridCol w:w="10800"/>
          </w:tblGrid>
          <w:tr w:rsidR="00B649D6" w14:paraId="6C97C3BA"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5E4733B6" w14:textId="77777777" w:rsidR="00C52DA8" w:rsidRDefault="000603E8" w:rsidP="008437E6">
                <w:pPr>
                  <w:rPr>
                    <w:rFonts w:eastAsia="Times New Roman"/>
                  </w:rPr>
                </w:pPr>
                <w:r>
                  <w:rPr>
                    <w:rFonts w:eastAsia="Times New Roman"/>
                    <w:b/>
                    <w:bCs/>
                  </w:rPr>
                  <w:lastRenderedPageBreak/>
                  <w:t>BASIC INFORMATION</w:t>
                </w:r>
              </w:p>
            </w:tc>
          </w:tr>
        </w:tbl>
        <w:p w14:paraId="153CA504" w14:textId="77777777" w:rsidR="00C52DA8" w:rsidRPr="002230F4" w:rsidRDefault="00C52DA8" w:rsidP="00662E77">
          <w:pPr>
            <w:shd w:val="clear" w:color="auto" w:fill="F7F7F7"/>
            <w:spacing w:after="0" w:line="240" w:lineRule="auto"/>
            <w:ind w:left="-691" w:right="-691"/>
          </w:pPr>
        </w:p>
        <w:tbl>
          <w:tblPr>
            <w:tblStyle w:val="TableGrid2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3177"/>
            <w:gridCol w:w="2599"/>
            <w:gridCol w:w="2495"/>
            <w:gridCol w:w="2529"/>
          </w:tblGrid>
          <w:tr w:rsidR="00B649D6" w14:paraId="79FFF3FC" w14:textId="77777777" w:rsidTr="008437E6">
            <w:trPr>
              <w:trHeight w:hRule="exact" w:val="20"/>
            </w:trPr>
            <w:tc>
              <w:tcPr>
                <w:tcW w:w="10800" w:type="dxa"/>
                <w:gridSpan w:val="4"/>
                <w:shd w:val="clear" w:color="auto" w:fill="F7F7F7"/>
                <w:vAlign w:val="center"/>
              </w:tcPr>
              <w:p w14:paraId="52935A67" w14:textId="77777777" w:rsidR="008437E6" w:rsidRPr="008437E6" w:rsidRDefault="000603E8" w:rsidP="008D2AF0">
                <w:pPr>
                  <w:widowControl w:val="0"/>
                  <w:autoSpaceDE w:val="0"/>
                  <w:autoSpaceDN w:val="0"/>
                  <w:adjustRightInd w:val="0"/>
                  <w:rPr>
                    <w:rFonts w:eastAsia="Times New Roman" w:cs="Arial"/>
                    <w:b/>
                    <w:color w:val="F7F7F7"/>
                  </w:rPr>
                </w:pPr>
                <w:r w:rsidRPr="008437E6">
                  <w:rPr>
                    <w:rFonts w:eastAsia="Times New Roman" w:cs="Arial"/>
                    <w:b/>
                    <w:color w:val="F7F7F7"/>
                  </w:rPr>
                  <w:t>OPS_TABLE_BASIC_DATA</w:t>
                </w:r>
              </w:p>
            </w:tc>
          </w:tr>
          <w:tr w:rsidR="00B649D6" w14:paraId="13E06E61" w14:textId="77777777" w:rsidTr="00662E77">
            <w:trPr>
              <w:trHeight w:val="573"/>
            </w:trPr>
            <w:tc>
              <w:tcPr>
                <w:tcW w:w="10800" w:type="dxa"/>
                <w:gridSpan w:val="4"/>
                <w:shd w:val="clear" w:color="auto" w:fill="F7F7F7"/>
                <w:vAlign w:val="center"/>
                <w:hideMark/>
              </w:tcPr>
              <w:p w14:paraId="6B401131" w14:textId="77777777" w:rsidR="008D2AF0" w:rsidRPr="002230F4" w:rsidRDefault="000603E8" w:rsidP="008D2AF0">
                <w:pPr>
                  <w:widowControl w:val="0"/>
                  <w:autoSpaceDE w:val="0"/>
                  <w:autoSpaceDN w:val="0"/>
                  <w:adjustRightInd w:val="0"/>
                  <w:rPr>
                    <w:rFonts w:asciiTheme="minorHAnsi" w:eastAsia="Times New Roman" w:hAnsiTheme="minorHAnsi" w:cs="Arial"/>
                    <w:b/>
                    <w:bCs/>
                    <w:color w:val="000000"/>
                  </w:rPr>
                </w:pPr>
                <w:r w:rsidRPr="002230F4">
                  <w:rPr>
                    <w:rFonts w:asciiTheme="minorHAnsi" w:eastAsia="Times New Roman" w:hAnsiTheme="minorHAnsi" w:cs="Arial"/>
                    <w:b/>
                    <w:color w:val="172D5F"/>
                  </w:rPr>
                  <w:t xml:space="preserve">  A. Basic Project Data</w:t>
                </w:r>
              </w:p>
            </w:tc>
          </w:tr>
          <w:tr w:rsidR="00B649D6" w14:paraId="6B8FBC8D"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bottom w:val="nil"/>
                </w:tcBorders>
                <w:shd w:val="clear" w:color="auto" w:fill="F7F7F7"/>
                <w:vAlign w:val="center"/>
                <w:hideMark/>
              </w:tcPr>
              <w:p w14:paraId="23F7302B"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Country</w:t>
                </w:r>
              </w:p>
            </w:tc>
            <w:tc>
              <w:tcPr>
                <w:tcW w:w="2599" w:type="dxa"/>
                <w:tcBorders>
                  <w:bottom w:val="nil"/>
                </w:tcBorders>
                <w:shd w:val="clear" w:color="auto" w:fill="F7F7F7"/>
                <w:vAlign w:val="center"/>
                <w:hideMark/>
              </w:tcPr>
              <w:p w14:paraId="5CFFAC8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ID</w:t>
                </w:r>
              </w:p>
            </w:tc>
            <w:tc>
              <w:tcPr>
                <w:tcW w:w="2495" w:type="dxa"/>
                <w:tcBorders>
                  <w:bottom w:val="nil"/>
                </w:tcBorders>
                <w:shd w:val="clear" w:color="auto" w:fill="F7F7F7"/>
                <w:vAlign w:val="center"/>
                <w:hideMark/>
              </w:tcPr>
              <w:p w14:paraId="578B6946"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Project Name</w:t>
                </w:r>
              </w:p>
            </w:tc>
            <w:tc>
              <w:tcPr>
                <w:tcW w:w="2529" w:type="dxa"/>
                <w:tcBorders>
                  <w:bottom w:val="nil"/>
                </w:tcBorders>
                <w:shd w:val="clear" w:color="auto" w:fill="F7F7F7"/>
                <w:vAlign w:val="center"/>
                <w:hideMark/>
              </w:tcPr>
              <w:p w14:paraId="1A528A4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Parent Project ID (if any)</w:t>
                </w:r>
              </w:p>
            </w:tc>
          </w:tr>
          <w:tr w:rsidR="00B649D6" w14:paraId="36DA97DE"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0441699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Africa</w:t>
                </w:r>
              </w:p>
            </w:tc>
            <w:tc>
              <w:tcPr>
                <w:tcW w:w="2599" w:type="dxa"/>
                <w:tcBorders>
                  <w:top w:val="nil"/>
                  <w:bottom w:val="single" w:sz="4" w:space="0" w:color="E7E6E6"/>
                </w:tcBorders>
                <w:shd w:val="clear" w:color="auto" w:fill="F7F7F7"/>
                <w:hideMark/>
              </w:tcPr>
              <w:p w14:paraId="5C7D26DD"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P167788</w:t>
                </w:r>
              </w:p>
            </w:tc>
            <w:tc>
              <w:tcPr>
                <w:tcW w:w="2495" w:type="dxa"/>
                <w:tcBorders>
                  <w:top w:val="nil"/>
                  <w:bottom w:val="single" w:sz="4" w:space="0" w:color="E7E6E6"/>
                </w:tcBorders>
                <w:shd w:val="clear" w:color="auto" w:fill="F7F7F7"/>
                <w:hideMark/>
              </w:tcPr>
              <w:p w14:paraId="4848D80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IF </w:instrText>
                </w:r>
                <w:r w:rsidRPr="002230F4">
                  <w:rPr>
                    <w:rFonts w:asciiTheme="minorHAnsi" w:eastAsia="Times New Roman" w:hAnsiTheme="minorHAnsi" w:cs="Arial"/>
                    <w:noProof/>
                    <w:color w:val="000000"/>
                  </w:rPr>
                  <w:instrText>"Africa Environmental Health and Pollution Management Program"</w:instrText>
                </w:r>
                <w:r w:rsidRPr="002230F4">
                  <w:rPr>
                    <w:rFonts w:asciiTheme="minorHAnsi" w:eastAsia="Times New Roman" w:hAnsiTheme="minorHAnsi" w:cs="Arial"/>
                    <w:color w:val="000000"/>
                  </w:rPr>
                  <w:instrText xml:space="preserve"> &lt;&gt; "" </w:instrText>
                </w:r>
                <w:r w:rsidRPr="002230F4">
                  <w:rPr>
                    <w:rFonts w:asciiTheme="minorHAnsi" w:eastAsia="Times New Roman" w:hAnsiTheme="minorHAnsi" w:cs="Arial"/>
                    <w:noProof/>
                    <w:color w:val="000000"/>
                  </w:rPr>
                  <w:instrText>"Africa Environmental Health and Pollution Management Program"</w:instrText>
                </w:r>
                <w:r w:rsidRPr="002230F4">
                  <w:rPr>
                    <w:rFonts w:asciiTheme="minorHAnsi" w:eastAsia="Times New Roman" w:hAnsiTheme="minorHAnsi" w:cs="Arial"/>
                    <w:color w:val="000000"/>
                  </w:rPr>
                  <w:instrText xml:space="preserve"> </w:instrText>
                </w:r>
                <w:r w:rsidRPr="002230F4">
                  <w:rPr>
                    <w:rFonts w:eastAsia="Times New Roman" w:cs="Arial"/>
                    <w:color w:val="000000"/>
                  </w:rPr>
                  <w:fldChar w:fldCharType="begin"/>
                </w:r>
                <w:r w:rsidRPr="002230F4">
                  <w:rPr>
                    <w:rFonts w:asciiTheme="minorHAnsi" w:eastAsia="Times New Roman" w:hAnsiTheme="minorHAnsi" w:cs="Arial"/>
                    <w:color w:val="000000"/>
                  </w:rPr>
                  <w:instrText xml:space="preserve"> MERGEFIELD  PROJECTINFO~$~TITLE  \* MERGEFORMAT </w:instrText>
                </w:r>
                <w:r w:rsidRPr="002230F4">
                  <w:rPr>
                    <w:rFonts w:eastAsia="Times New Roman" w:cs="Arial"/>
                    <w:color w:val="000000"/>
                  </w:rPr>
                  <w:fldChar w:fldCharType="separate"/>
                </w:r>
                <w:r w:rsidRPr="002230F4">
                  <w:rPr>
                    <w:rFonts w:asciiTheme="minorHAnsi" w:eastAsia="Times New Roman" w:hAnsiTheme="minorHAnsi" w:cs="Arial"/>
                    <w:color w:val="000000"/>
                  </w:rPr>
                  <w:instrText>«PROJECTINFO~$~TITLE»</w:instrText>
                </w:r>
                <w:r w:rsidRPr="002230F4">
                  <w:rPr>
                    <w:rFonts w:eastAsia="Times New Roman" w:cs="Arial"/>
                    <w:color w:val="000000"/>
                  </w:rPr>
                  <w:fldChar w:fldCharType="end"/>
                </w:r>
                <w:r w:rsidRPr="002230F4">
                  <w:rPr>
                    <w:rFonts w:eastAsia="Times New Roman" w:cs="Arial"/>
                    <w:color w:val="000000"/>
                  </w:rPr>
                  <w:fldChar w:fldCharType="separate"/>
                </w:r>
                <w:r w:rsidRPr="002230F4">
                  <w:rPr>
                    <w:rFonts w:asciiTheme="minorHAnsi" w:eastAsia="Times New Roman" w:hAnsiTheme="minorHAnsi" w:cs="Arial"/>
                    <w:noProof/>
                    <w:color w:val="000000"/>
                  </w:rPr>
                  <w:t>Africa Environmental Health and Pollution Management Program</w:t>
                </w:r>
                <w:r w:rsidRPr="002230F4">
                  <w:rPr>
                    <w:rFonts w:eastAsia="Times New Roman" w:cs="Arial"/>
                    <w:color w:val="000000"/>
                  </w:rPr>
                  <w:fldChar w:fldCharType="end"/>
                </w:r>
              </w:p>
            </w:tc>
            <w:tc>
              <w:tcPr>
                <w:tcW w:w="2529" w:type="dxa"/>
                <w:tcBorders>
                  <w:top w:val="nil"/>
                  <w:bottom w:val="single" w:sz="4" w:space="0" w:color="E7E6E6"/>
                </w:tcBorders>
                <w:shd w:val="clear" w:color="auto" w:fill="F7F7F7"/>
                <w:hideMark/>
              </w:tcPr>
              <w:p w14:paraId="2D948C64" w14:textId="77777777" w:rsidR="00572991" w:rsidRPr="002230F4" w:rsidRDefault="00572991" w:rsidP="007E1A9B">
                <w:pPr>
                  <w:widowControl w:val="0"/>
                  <w:autoSpaceDE w:val="0"/>
                  <w:autoSpaceDN w:val="0"/>
                  <w:adjustRightInd w:val="0"/>
                  <w:rPr>
                    <w:rFonts w:asciiTheme="minorHAnsi" w:eastAsia="Times New Roman" w:hAnsiTheme="minorHAnsi" w:cs="Arial"/>
                    <w:color w:val="000000"/>
                  </w:rPr>
                </w:pPr>
              </w:p>
            </w:tc>
          </w:tr>
          <w:tr w:rsidR="00B649D6" w14:paraId="5D3E724E"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7B00FAAF"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Region</w:t>
                </w:r>
              </w:p>
            </w:tc>
            <w:tc>
              <w:tcPr>
                <w:tcW w:w="2599" w:type="dxa"/>
                <w:tcBorders>
                  <w:top w:val="single" w:sz="4" w:space="0" w:color="E7E6E6"/>
                  <w:bottom w:val="nil"/>
                </w:tcBorders>
                <w:shd w:val="clear" w:color="auto" w:fill="F7F7F7"/>
                <w:vAlign w:val="center"/>
                <w:hideMark/>
              </w:tcPr>
              <w:p w14:paraId="6F9E0003"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Appraisal Date</w:t>
                </w:r>
              </w:p>
            </w:tc>
            <w:tc>
              <w:tcPr>
                <w:tcW w:w="2495" w:type="dxa"/>
                <w:tcBorders>
                  <w:top w:val="single" w:sz="4" w:space="0" w:color="E7E6E6"/>
                  <w:bottom w:val="nil"/>
                </w:tcBorders>
                <w:shd w:val="clear" w:color="auto" w:fill="F7F7F7"/>
                <w:vAlign w:val="center"/>
                <w:hideMark/>
              </w:tcPr>
              <w:p w14:paraId="1B73576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Estimated Board Date</w:t>
                </w:r>
              </w:p>
            </w:tc>
            <w:tc>
              <w:tcPr>
                <w:tcW w:w="2529" w:type="dxa"/>
                <w:tcBorders>
                  <w:top w:val="single" w:sz="4" w:space="0" w:color="E7E6E6"/>
                  <w:bottom w:val="nil"/>
                </w:tcBorders>
                <w:shd w:val="clear" w:color="auto" w:fill="F7F7F7"/>
                <w:vAlign w:val="center"/>
                <w:hideMark/>
              </w:tcPr>
              <w:p w14:paraId="32ED861A"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Practice Area (Lead)</w:t>
                </w:r>
              </w:p>
            </w:tc>
          </w:tr>
          <w:tr w:rsidR="00B649D6" w14:paraId="4BCD2030"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3FB3F287"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AFRICA</w:t>
                </w:r>
              </w:p>
            </w:tc>
            <w:tc>
              <w:tcPr>
                <w:tcW w:w="2599" w:type="dxa"/>
                <w:tcBorders>
                  <w:top w:val="nil"/>
                  <w:bottom w:val="single" w:sz="4" w:space="0" w:color="E7E6E6"/>
                </w:tcBorders>
                <w:shd w:val="clear" w:color="auto" w:fill="F7F7F7"/>
                <w:hideMark/>
              </w:tcPr>
              <w:p w14:paraId="756BF6DD"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28-Feb-2020</w:t>
                </w:r>
              </w:p>
            </w:tc>
            <w:tc>
              <w:tcPr>
                <w:tcW w:w="2495" w:type="dxa"/>
                <w:tcBorders>
                  <w:top w:val="nil"/>
                  <w:bottom w:val="single" w:sz="4" w:space="0" w:color="E7E6E6"/>
                </w:tcBorders>
                <w:shd w:val="clear" w:color="auto" w:fill="F7F7F7"/>
                <w:hideMark/>
              </w:tcPr>
              <w:p w14:paraId="49EA639C"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noProof/>
                    <w:color w:val="000000"/>
                  </w:rPr>
                  <w:t>23-Apr-2020</w:t>
                </w:r>
              </w:p>
            </w:tc>
            <w:tc>
              <w:tcPr>
                <w:tcW w:w="2529" w:type="dxa"/>
                <w:tcBorders>
                  <w:top w:val="nil"/>
                  <w:bottom w:val="single" w:sz="4" w:space="0" w:color="E7E6E6"/>
                </w:tcBorders>
                <w:shd w:val="clear" w:color="auto" w:fill="F7F7F7"/>
                <w:hideMark/>
              </w:tcPr>
              <w:p w14:paraId="3FFC441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Environment, Natural Resources &amp; the Blue Economy</w:t>
                </w:r>
              </w:p>
            </w:tc>
          </w:tr>
          <w:tr w:rsidR="00B649D6" w14:paraId="2CD7747F" w14:textId="77777777" w:rsidTr="00662E77">
            <w:tblPrEx>
              <w:tblBorders>
                <w:insideH w:val="single" w:sz="4" w:space="0" w:color="E7E6E6"/>
                <w:insideV w:val="single" w:sz="4" w:space="0" w:color="E7E6E6"/>
              </w:tblBorders>
              <w:tblCellMar>
                <w:left w:w="130" w:type="dxa"/>
              </w:tblCellMar>
            </w:tblPrEx>
            <w:trPr>
              <w:trHeight w:val="368"/>
            </w:trPr>
            <w:tc>
              <w:tcPr>
                <w:tcW w:w="3177" w:type="dxa"/>
                <w:tcBorders>
                  <w:top w:val="single" w:sz="4" w:space="0" w:color="E7E6E6"/>
                  <w:bottom w:val="nil"/>
                </w:tcBorders>
                <w:shd w:val="clear" w:color="auto" w:fill="F7F7F7"/>
                <w:vAlign w:val="center"/>
                <w:hideMark/>
              </w:tcPr>
              <w:p w14:paraId="1758B89E"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Pr>
                    <w:rFonts w:asciiTheme="minorHAnsi" w:eastAsia="Times New Roman" w:hAnsiTheme="minorHAnsi" w:cs="Arial"/>
                    <w:color w:val="767171"/>
                  </w:rPr>
                  <w:t>Financing</w:t>
                </w:r>
                <w:r w:rsidRPr="002230F4">
                  <w:rPr>
                    <w:rFonts w:asciiTheme="minorHAnsi" w:eastAsia="Times New Roman" w:hAnsiTheme="minorHAnsi" w:cs="Arial"/>
                    <w:color w:val="767171"/>
                  </w:rPr>
                  <w:t xml:space="preserve"> Instrument</w:t>
                </w:r>
              </w:p>
            </w:tc>
            <w:tc>
              <w:tcPr>
                <w:tcW w:w="2599" w:type="dxa"/>
                <w:tcBorders>
                  <w:top w:val="single" w:sz="4" w:space="0" w:color="E7E6E6"/>
                  <w:bottom w:val="nil"/>
                </w:tcBorders>
                <w:shd w:val="clear" w:color="auto" w:fill="F7F7F7"/>
                <w:vAlign w:val="center"/>
              </w:tcPr>
              <w:p w14:paraId="41AF3D72"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Borrower(s)</w:t>
                </w:r>
              </w:p>
            </w:tc>
            <w:tc>
              <w:tcPr>
                <w:tcW w:w="2495" w:type="dxa"/>
                <w:tcBorders>
                  <w:top w:val="single" w:sz="4" w:space="0" w:color="E7E6E6"/>
                  <w:bottom w:val="nil"/>
                </w:tcBorders>
                <w:shd w:val="clear" w:color="auto" w:fill="F7F7F7"/>
                <w:vAlign w:val="center"/>
              </w:tcPr>
              <w:p w14:paraId="7AD51328"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color w:val="767171"/>
                  </w:rPr>
                  <w:t>Implementing Agency</w:t>
                </w:r>
              </w:p>
            </w:tc>
            <w:tc>
              <w:tcPr>
                <w:tcW w:w="2529" w:type="dxa"/>
                <w:tcBorders>
                  <w:top w:val="single" w:sz="4" w:space="0" w:color="E7E6E6"/>
                  <w:bottom w:val="nil"/>
                </w:tcBorders>
                <w:shd w:val="clear" w:color="auto" w:fill="F7F7F7"/>
                <w:vAlign w:val="center"/>
              </w:tcPr>
              <w:p w14:paraId="5B4CD014" w14:textId="77777777" w:rsidR="00572991" w:rsidRPr="002230F4" w:rsidRDefault="000603E8" w:rsidP="007E1A9B">
                <w:pPr>
                  <w:widowControl w:val="0"/>
                  <w:autoSpaceDE w:val="0"/>
                  <w:autoSpaceDN w:val="0"/>
                  <w:adjustRightInd w:val="0"/>
                  <w:rPr>
                    <w:rFonts w:asciiTheme="minorHAnsi" w:eastAsia="Times New Roman" w:hAnsiTheme="minorHAnsi"/>
                    <w:color w:val="000000"/>
                  </w:rPr>
                </w:pPr>
                <w:r w:rsidRPr="002230F4">
                  <w:rPr>
                    <w:rFonts w:asciiTheme="minorHAnsi" w:eastAsia="Times New Roman" w:hAnsiTheme="minorHAnsi" w:cs="Arial"/>
                    <w:color w:val="767171"/>
                  </w:rPr>
                  <w:t>GEF Focal Area</w:t>
                </w:r>
              </w:p>
            </w:tc>
          </w:tr>
          <w:tr w:rsidR="00B649D6" w14:paraId="5A09D0C7" w14:textId="77777777" w:rsidTr="00662E77">
            <w:tblPrEx>
              <w:tblBorders>
                <w:insideH w:val="single" w:sz="4" w:space="0" w:color="E7E6E6"/>
                <w:insideV w:val="single" w:sz="4" w:space="0" w:color="E7E6E6"/>
              </w:tblBorders>
              <w:tblCellMar>
                <w:left w:w="130" w:type="dxa"/>
              </w:tblCellMar>
            </w:tblPrEx>
            <w:trPr>
              <w:trHeight w:val="430"/>
            </w:trPr>
            <w:tc>
              <w:tcPr>
                <w:tcW w:w="3177" w:type="dxa"/>
                <w:tcBorders>
                  <w:top w:val="nil"/>
                  <w:bottom w:val="single" w:sz="4" w:space="0" w:color="E7E6E6"/>
                </w:tcBorders>
                <w:shd w:val="clear" w:color="auto" w:fill="F7F7F7"/>
                <w:hideMark/>
              </w:tcPr>
              <w:p w14:paraId="609CEED2"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Investment Project Financing</w:t>
                </w:r>
              </w:p>
            </w:tc>
            <w:tc>
              <w:tcPr>
                <w:tcW w:w="2599" w:type="dxa"/>
                <w:tcBorders>
                  <w:top w:val="nil"/>
                  <w:bottom w:val="single" w:sz="4" w:space="0" w:color="E7E6E6"/>
                </w:tcBorders>
                <w:shd w:val="clear" w:color="auto" w:fill="F7F7F7"/>
              </w:tcPr>
              <w:p w14:paraId="7F82E173"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Republic of Kenya, Republic of Ghana, Republic of Zambia, United Republic of Tanzania, Republic of Senegal</w:t>
                </w:r>
              </w:p>
            </w:tc>
            <w:tc>
              <w:tcPr>
                <w:tcW w:w="2495" w:type="dxa"/>
                <w:tcBorders>
                  <w:top w:val="nil"/>
                  <w:bottom w:val="single" w:sz="4" w:space="0" w:color="E7E6E6"/>
                </w:tcBorders>
                <w:shd w:val="clear" w:color="auto" w:fill="F7F7F7"/>
              </w:tcPr>
              <w:p w14:paraId="5B0FFFF2" w14:textId="77777777" w:rsidR="00572991" w:rsidRPr="002230F4" w:rsidRDefault="000603E8" w:rsidP="007E1A9B">
                <w:pPr>
                  <w:widowControl w:val="0"/>
                  <w:autoSpaceDE w:val="0"/>
                  <w:autoSpaceDN w:val="0"/>
                  <w:adjustRightInd w:val="0"/>
                  <w:rPr>
                    <w:rFonts w:asciiTheme="minorHAnsi" w:eastAsia="Times New Roman" w:hAnsiTheme="minorHAnsi" w:cs="Arial"/>
                    <w:color w:val="000000"/>
                  </w:rPr>
                </w:pPr>
                <w:r w:rsidRPr="002230F4">
                  <w:rPr>
                    <w:rFonts w:asciiTheme="minorHAnsi" w:eastAsia="Times New Roman" w:hAnsiTheme="minorHAnsi" w:cs="Arial"/>
                    <w:noProof/>
                    <w:color w:val="000000"/>
                  </w:rPr>
                  <w:t>The National Environmental Management Council (NEMC), Environmental Protection Agency (EPA), National Environmental Management Authority (Ministry of Environment and Forestry), Zambia Environmental Management Agency, Direction de l’Environnement et des Etablissements Classés - DEEC</w:t>
                </w:r>
              </w:p>
            </w:tc>
            <w:tc>
              <w:tcPr>
                <w:tcW w:w="2529" w:type="dxa"/>
                <w:tcBorders>
                  <w:top w:val="nil"/>
                  <w:bottom w:val="single" w:sz="4" w:space="0" w:color="E7E6E6"/>
                </w:tcBorders>
                <w:shd w:val="clear" w:color="auto" w:fill="F7F7F7"/>
              </w:tcPr>
              <w:p w14:paraId="0FDADAD5" w14:textId="77777777" w:rsidR="00572991" w:rsidRPr="002230F4" w:rsidRDefault="000603E8" w:rsidP="007E1A9B">
                <w:pPr>
                  <w:rPr>
                    <w:rFonts w:asciiTheme="minorHAnsi" w:eastAsia="Times New Roman" w:hAnsiTheme="minorHAnsi"/>
                    <w:color w:val="000000"/>
                  </w:rPr>
                </w:pPr>
                <w:r w:rsidRPr="002230F4">
                  <w:rPr>
                    <w:rFonts w:asciiTheme="minorHAnsi" w:eastAsia="Times New Roman" w:hAnsiTheme="minorHAnsi" w:cs="Arial"/>
                    <w:noProof/>
                    <w:color w:val="000000"/>
                  </w:rPr>
                  <w:t>Persistent Organic Pollutants</w:t>
                </w:r>
              </w:p>
            </w:tc>
          </w:tr>
        </w:tbl>
        <w:p w14:paraId="459B535C" w14:textId="77777777" w:rsidR="00572991" w:rsidRPr="002230F4" w:rsidRDefault="00572991" w:rsidP="00662E77">
          <w:pPr>
            <w:shd w:val="clear" w:color="auto" w:fill="F7F7F7"/>
            <w:spacing w:after="0" w:line="240" w:lineRule="auto"/>
            <w:ind w:left="-691" w:right="-691"/>
          </w:pPr>
        </w:p>
        <w:tbl>
          <w:tblPr>
            <w:tblStyle w:val="TableGrid35"/>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800"/>
          </w:tblGrid>
          <w:tr w:rsidR="00B649D6" w14:paraId="28BE17AD" w14:textId="77777777" w:rsidTr="00662E77">
            <w:tc>
              <w:tcPr>
                <w:tcW w:w="10800" w:type="dxa"/>
                <w:shd w:val="clear" w:color="auto" w:fill="F7F7F7"/>
              </w:tcPr>
              <w:p w14:paraId="72D9CDEE" w14:textId="77777777" w:rsidR="00662E77" w:rsidRPr="002230F4" w:rsidRDefault="000603E8" w:rsidP="001F412E">
                <w:pPr>
                  <w:widowControl w:val="0"/>
                  <w:shd w:val="clear" w:color="auto" w:fill="F7F7F7"/>
                  <w:rPr>
                    <w:color w:val="7F7F7F" w:themeColor="text1" w:themeTint="80"/>
                  </w:rPr>
                </w:pPr>
                <w:r w:rsidRPr="002230F4">
                  <w:rPr>
                    <w:color w:val="7F7F7F" w:themeColor="text1" w:themeTint="80"/>
                  </w:rPr>
                  <w:t>Proposed Development Objective(s)</w:t>
                </w:r>
              </w:p>
            </w:tc>
          </w:tr>
          <w:tr w:rsidR="00B649D6" w14:paraId="3549C0B7" w14:textId="77777777" w:rsidTr="00662E77">
            <w:tc>
              <w:tcPr>
                <w:tcW w:w="10800" w:type="dxa"/>
                <w:shd w:val="clear" w:color="auto" w:fill="F7F7F7"/>
              </w:tcPr>
              <w:p w14:paraId="1F9F1733" w14:textId="77777777" w:rsidR="00662E77" w:rsidRPr="002230F4" w:rsidRDefault="00662E77" w:rsidP="007E1A9B">
                <w:pPr>
                  <w:shd w:val="clear" w:color="auto" w:fill="F7F7F7"/>
                </w:pPr>
              </w:p>
            </w:tc>
          </w:tr>
          <w:tr w:rsidR="00B649D6" w14:paraId="7CEE87A6" w14:textId="77777777" w:rsidTr="001B0034">
            <w:trPr>
              <w:trHeight w:val="396"/>
            </w:trPr>
            <w:tc>
              <w:tcPr>
                <w:tcW w:w="10800" w:type="dxa"/>
                <w:shd w:val="clear" w:color="auto" w:fill="F7F7F7"/>
                <w:vAlign w:val="center"/>
              </w:tcPr>
              <w:p w14:paraId="6973075E" w14:textId="77777777" w:rsidR="00662E77" w:rsidRPr="002230F4" w:rsidRDefault="00AF3A62" w:rsidP="00AF3A62">
                <w:pPr>
                  <w:shd w:val="clear" w:color="auto" w:fill="F7F7F7"/>
                  <w:rPr>
                    <w:bCs/>
                  </w:rPr>
                </w:pPr>
                <w:r>
                  <w:rPr>
                    <w:bCs/>
                    <w:noProof/>
                  </w:rPr>
                  <w:t>To reduce exposure to mercury and uPOPs pollution at pilot sites and strengthen the institutional capacity to manage and regulate mercury use in artisanal small-scale gold mining (ASGM) and e-waste in selected countries in Africa</w:t>
                </w:r>
              </w:p>
            </w:tc>
          </w:tr>
        </w:tbl>
        <w:p w14:paraId="65D6D7B9" w14:textId="77777777" w:rsidR="009D5C24" w:rsidRPr="002230F4" w:rsidRDefault="009D5C24" w:rsidP="00662E77">
          <w:pPr>
            <w:shd w:val="clear" w:color="auto" w:fill="F7F7F7"/>
            <w:spacing w:after="0" w:line="240" w:lineRule="auto"/>
            <w:ind w:left="-691" w:right="-691"/>
          </w:pPr>
        </w:p>
        <w:tbl>
          <w:tblPr>
            <w:tblStyle w:val="TableGrid35"/>
            <w:tblW w:w="1079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95"/>
          </w:tblGrid>
          <w:tr w:rsidR="00B649D6" w14:paraId="7ED61CAD" w14:textId="77777777" w:rsidTr="001B0034">
            <w:tc>
              <w:tcPr>
                <w:tcW w:w="10795" w:type="dxa"/>
                <w:tcBorders>
                  <w:bottom w:val="single" w:sz="12" w:space="0" w:color="D9D9D9"/>
                </w:tcBorders>
                <w:shd w:val="clear" w:color="auto" w:fill="F7F7F7"/>
              </w:tcPr>
              <w:p w14:paraId="7E1ECE1D" w14:textId="77777777" w:rsidR="00662E77" w:rsidRPr="002230F4" w:rsidRDefault="000603E8" w:rsidP="007E1A9B">
                <w:pPr>
                  <w:keepNext/>
                  <w:widowControl w:val="0"/>
                  <w:autoSpaceDE w:val="0"/>
                  <w:autoSpaceDN w:val="0"/>
                  <w:adjustRightInd w:val="0"/>
                  <w:rPr>
                    <w:color w:val="7F7F7F" w:themeColor="text1" w:themeTint="80"/>
                  </w:rPr>
                </w:pPr>
                <w:r>
                  <w:rPr>
                    <w:color w:val="7F7F7F" w:themeColor="text1" w:themeTint="80"/>
                  </w:rPr>
                  <w:t>Components</w:t>
                </w:r>
              </w:p>
            </w:tc>
          </w:tr>
          <w:tr w:rsidR="00B649D6" w14:paraId="2BFD725C" w14:textId="77777777" w:rsidTr="00CA5FCF">
            <w:trPr>
              <w:trHeight w:val="474"/>
            </w:trPr>
            <w:tc>
              <w:tcPr>
                <w:tcW w:w="10795" w:type="dxa"/>
                <w:tcBorders>
                  <w:top w:val="single" w:sz="12" w:space="0" w:color="D9D9D9"/>
                  <w:bottom w:val="single" w:sz="4" w:space="0" w:color="E7E6E6"/>
                </w:tcBorders>
                <w:shd w:val="clear" w:color="auto" w:fill="F7F7F7"/>
                <w:vAlign w:val="center"/>
              </w:tcPr>
              <w:p w14:paraId="771719A5" w14:textId="77777777" w:rsidR="00662E77" w:rsidRPr="002230F4" w:rsidRDefault="000603E8" w:rsidP="001B0034">
                <w:pPr>
                  <w:shd w:val="clear" w:color="auto" w:fill="F7F7F7"/>
                  <w:rPr>
                    <w:bCs/>
                  </w:rPr>
                </w:pPr>
                <w:r w:rsidRPr="002230F4">
                  <w:rPr>
                    <w:bCs/>
                    <w:noProof/>
                  </w:rPr>
                  <w:t>Institutional Strengthening, Knowledge and Capacity Building</w:t>
                </w:r>
              </w:p>
              <w:p w14:paraId="4C3FD86F" w14:textId="77777777" w:rsidR="00662E77" w:rsidRPr="002230F4" w:rsidRDefault="000603E8" w:rsidP="001B0034">
                <w:pPr>
                  <w:shd w:val="clear" w:color="auto" w:fill="F7F7F7"/>
                  <w:rPr>
                    <w:bCs/>
                  </w:rPr>
                </w:pPr>
                <w:r w:rsidRPr="002230F4">
                  <w:rPr>
                    <w:bCs/>
                    <w:noProof/>
                  </w:rPr>
                  <w:t>Policy Dialogue and Regulatory Enhancements</w:t>
                </w:r>
              </w:p>
              <w:p w14:paraId="485F0027" w14:textId="77777777" w:rsidR="00662E77" w:rsidRPr="002230F4" w:rsidRDefault="000603E8" w:rsidP="001B0034">
                <w:pPr>
                  <w:shd w:val="clear" w:color="auto" w:fill="F7F7F7"/>
                  <w:rPr>
                    <w:bCs/>
                  </w:rPr>
                </w:pPr>
                <w:r w:rsidRPr="002230F4">
                  <w:rPr>
                    <w:bCs/>
                    <w:noProof/>
                  </w:rPr>
                  <w:t>Demonstrating Application of Technological Tools and Economic Approaches</w:t>
                </w:r>
              </w:p>
              <w:p w14:paraId="7F95AC3C" w14:textId="77777777" w:rsidR="00662E77" w:rsidRPr="002230F4" w:rsidRDefault="000603E8" w:rsidP="001B0034">
                <w:pPr>
                  <w:shd w:val="clear" w:color="auto" w:fill="F7F7F7"/>
                  <w:rPr>
                    <w:bCs/>
                  </w:rPr>
                </w:pPr>
                <w:r w:rsidRPr="002230F4">
                  <w:rPr>
                    <w:bCs/>
                    <w:noProof/>
                  </w:rPr>
                  <w:t>Program Implementation and Coordination</w:t>
                </w:r>
              </w:p>
            </w:tc>
          </w:tr>
        </w:tbl>
        <w:p w14:paraId="3518F0F0" w14:textId="77777777" w:rsidR="009D5C24" w:rsidRPr="002230F4" w:rsidRDefault="009D5C24" w:rsidP="00662E77">
          <w:pPr>
            <w:shd w:val="clear" w:color="auto" w:fill="F7F7F7"/>
            <w:spacing w:after="0" w:line="240" w:lineRule="auto"/>
            <w:ind w:left="-691" w:right="-691"/>
          </w:pPr>
        </w:p>
        <w:p w14:paraId="18E005E6" w14:textId="77777777" w:rsidR="00572991" w:rsidRDefault="00572991" w:rsidP="00662E77">
          <w:pPr>
            <w:shd w:val="clear" w:color="auto" w:fill="F7F7F7"/>
            <w:spacing w:after="0" w:line="240" w:lineRule="auto"/>
            <w:ind w:left="-691" w:right="-691"/>
          </w:pPr>
        </w:p>
        <w:tbl>
          <w:tblPr>
            <w:tblStyle w:val="TableGrid35"/>
            <w:tblW w:w="10766" w:type="dxa"/>
            <w:tblInd w:w="-720" w:type="dxa"/>
            <w:tblBorders>
              <w:top w:val="none" w:sz="0" w:space="0" w:color="auto"/>
              <w:left w:val="single" w:sz="24" w:space="0" w:color="BFBFBF"/>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0766"/>
          </w:tblGrid>
          <w:tr w:rsidR="00B649D6" w14:paraId="25916944" w14:textId="77777777" w:rsidTr="00A478CE">
            <w:trPr>
              <w:trHeight w:val="432"/>
            </w:trPr>
            <w:tc>
              <w:tcPr>
                <w:tcW w:w="10766" w:type="dxa"/>
                <w:shd w:val="clear" w:color="auto" w:fill="F7F7F7"/>
                <w:vAlign w:val="center"/>
              </w:tcPr>
              <w:p w14:paraId="654F12CF" w14:textId="77777777" w:rsidR="001970BA" w:rsidRPr="001970BA" w:rsidRDefault="000603E8" w:rsidP="001970BA">
                <w:pPr>
                  <w:ind w:right="-691"/>
                  <w:rPr>
                    <w:b/>
                  </w:rPr>
                </w:pPr>
                <w:r w:rsidRPr="001970BA">
                  <w:rPr>
                    <w:b/>
                  </w:rPr>
                  <w:t>PROJECT FINANCING DATA (US$, Millions)</w:t>
                </w:r>
              </w:p>
            </w:tc>
          </w:tr>
        </w:tbl>
        <w:p w14:paraId="568015EA" w14:textId="77777777" w:rsidR="001970BA" w:rsidRPr="002230F4" w:rsidRDefault="001970BA" w:rsidP="001970BA">
          <w:pPr>
            <w:shd w:val="clear" w:color="auto" w:fill="F7F7F7"/>
            <w:spacing w:after="0" w:line="14" w:lineRule="exact"/>
            <w:ind w:left="-691" w:right="-691"/>
          </w:pPr>
        </w:p>
        <w:p w14:paraId="0AD5A567" w14:textId="77777777" w:rsidR="00572991" w:rsidRPr="009235B0" w:rsidRDefault="00572991" w:rsidP="009235B0">
          <w:pPr>
            <w:shd w:val="clear" w:color="auto" w:fill="F7F7F7"/>
            <w:spacing w:after="0" w:line="14" w:lineRule="exact"/>
            <w:ind w:left="-691" w:right="-691"/>
            <w:rPr>
              <w:color w:val="F7F7F7"/>
            </w:rPr>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6906"/>
            <w:gridCol w:w="3894"/>
          </w:tblGrid>
          <w:tr w:rsidR="00B649D6" w14:paraId="77CEAAC2" w14:textId="77777777" w:rsidTr="0076541A">
            <w:trPr>
              <w:trHeight w:val="70"/>
            </w:trPr>
            <w:tc>
              <w:tcPr>
                <w:tcW w:w="10800" w:type="dxa"/>
                <w:gridSpan w:val="2"/>
                <w:tcBorders>
                  <w:bottom w:val="single" w:sz="4" w:space="0" w:color="D9D9D9"/>
                </w:tcBorders>
                <w:shd w:val="clear" w:color="auto" w:fill="F7F7F7"/>
              </w:tcPr>
              <w:p w14:paraId="41370967" w14:textId="77777777" w:rsidR="00C83AC6" w:rsidRDefault="00C83AC6" w:rsidP="009712CC">
                <w:pPr>
                  <w:tabs>
                    <w:tab w:val="left" w:pos="10962"/>
                  </w:tabs>
                  <w:spacing w:line="14" w:lineRule="exact"/>
                  <w:ind w:left="-29"/>
                  <w:rPr>
                    <w:b/>
                    <w:color w:val="002060"/>
                  </w:rPr>
                </w:pPr>
              </w:p>
              <w:p w14:paraId="77709BF7" w14:textId="77777777" w:rsidR="00C83AC6" w:rsidRDefault="000603E8" w:rsidP="00295AAA">
                <w:pPr>
                  <w:tabs>
                    <w:tab w:val="left" w:pos="10962"/>
                  </w:tabs>
                  <w:spacing w:before="240"/>
                  <w:ind w:left="-29"/>
                  <w:rPr>
                    <w:b/>
                    <w:color w:val="FFFFFF" w:themeColor="background1"/>
                    <w:sz w:val="2"/>
                    <w:szCs w:val="2"/>
                  </w:rPr>
                </w:pPr>
                <w:r w:rsidRPr="00304676">
                  <w:rPr>
                    <w:b/>
                    <w:color w:val="002060"/>
                  </w:rPr>
                  <w:lastRenderedPageBreak/>
                  <w:t>SUMMARY</w:t>
                </w:r>
                <w:r w:rsidRPr="00304676">
                  <w:rPr>
                    <w:b/>
                    <w:color w:val="FFFFFF" w:themeColor="background1"/>
                    <w:sz w:val="2"/>
                    <w:szCs w:val="2"/>
                  </w:rPr>
                  <w:t>-NewFin1</w:t>
                </w:r>
              </w:p>
              <w:p w14:paraId="361C53FC" w14:textId="77777777" w:rsidR="00C83AC6" w:rsidRPr="00304676" w:rsidRDefault="00C83AC6" w:rsidP="00C83AC6">
                <w:pPr>
                  <w:tabs>
                    <w:tab w:val="left" w:pos="10962"/>
                  </w:tabs>
                  <w:ind w:left="-24"/>
                  <w:rPr>
                    <w:noProof/>
                  </w:rPr>
                </w:pPr>
              </w:p>
            </w:tc>
          </w:tr>
          <w:tr w:rsidR="00B649D6" w14:paraId="504A4430" w14:textId="77777777" w:rsidTr="00082759">
            <w:trPr>
              <w:trHeight w:val="368"/>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79C7DE" w14:textId="77777777" w:rsidR="009235B0" w:rsidRPr="004C688D" w:rsidRDefault="000603E8" w:rsidP="00082759">
                <w:pPr>
                  <w:rPr>
                    <w:b/>
                    <w:noProof/>
                  </w:rPr>
                </w:pPr>
                <w:r w:rsidRPr="004C688D">
                  <w:rPr>
                    <w:b/>
                    <w:noProof/>
                  </w:rPr>
                  <w:lastRenderedPageBreak/>
                  <w:t>Total Project Cost</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F55F00" w14:textId="77777777" w:rsidR="009235B0" w:rsidRDefault="000603E8" w:rsidP="00082759">
                <w:pPr>
                  <w:ind w:right="-18"/>
                  <w:jc w:val="right"/>
                  <w:rPr>
                    <w:color w:val="767171" w:themeColor="background2" w:themeShade="80"/>
                  </w:rPr>
                </w:pPr>
                <w:r>
                  <w:rPr>
                    <w:noProof/>
                  </w:rPr>
                  <w:t>37.89</w:t>
                </w:r>
              </w:p>
            </w:tc>
          </w:tr>
          <w:tr w:rsidR="00B649D6" w14:paraId="5C4AF116"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26C053" w14:textId="77777777" w:rsidR="009235B0" w:rsidRPr="004C688D" w:rsidRDefault="000603E8" w:rsidP="00082759">
                <w:pPr>
                  <w:rPr>
                    <w:b/>
                    <w:noProof/>
                  </w:rPr>
                </w:pPr>
                <w:r w:rsidRPr="004C688D">
                  <w:rPr>
                    <w:b/>
                    <w:noProof/>
                  </w:rPr>
                  <w:t>Total Financing</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AD16A8" w14:textId="77777777" w:rsidR="009235B0" w:rsidRDefault="000603E8" w:rsidP="00082759">
                <w:pPr>
                  <w:jc w:val="right"/>
                  <w:rPr>
                    <w:color w:val="767171" w:themeColor="background2" w:themeShade="80"/>
                  </w:rPr>
                </w:pPr>
                <w:r>
                  <w:rPr>
                    <w:noProof/>
                  </w:rPr>
                  <w:t>37.89</w:t>
                </w:r>
              </w:p>
            </w:tc>
          </w:tr>
          <w:tr w:rsidR="00B649D6" w14:paraId="508CD66D"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0FD2D3" w14:textId="77777777" w:rsidR="00C83AC6" w:rsidRPr="004C688D" w:rsidRDefault="000603E8" w:rsidP="00082759">
                <w:pPr>
                  <w:ind w:left="885"/>
                  <w:rPr>
                    <w:b/>
                  </w:rPr>
                </w:pPr>
                <w:r w:rsidRPr="00304676">
                  <w:rPr>
                    <w:b/>
                  </w:rPr>
                  <w:t>of which IBRD/IDA</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17CFD3" w14:textId="77777777" w:rsidR="00C83AC6" w:rsidRPr="00304676" w:rsidRDefault="000603E8" w:rsidP="00082759">
                <w:pPr>
                  <w:jc w:val="right"/>
                </w:pPr>
                <w:r>
                  <w:rPr>
                    <w:noProof/>
                  </w:rPr>
                  <w:t>0.00</w:t>
                </w:r>
              </w:p>
            </w:tc>
          </w:tr>
          <w:tr w:rsidR="00B649D6" w14:paraId="7190893E" w14:textId="77777777" w:rsidTr="00082759">
            <w:trPr>
              <w:trHeight w:val="350"/>
            </w:trPr>
            <w:tc>
              <w:tcPr>
                <w:tcW w:w="6906"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60AE857" w14:textId="77777777" w:rsidR="009235B0" w:rsidRPr="004C688D" w:rsidRDefault="000603E8" w:rsidP="00082759">
                <w:pPr>
                  <w:rPr>
                    <w:b/>
                    <w:noProof/>
                  </w:rPr>
                </w:pPr>
                <w:r w:rsidRPr="004C688D">
                  <w:rPr>
                    <w:b/>
                    <w:noProof/>
                  </w:rPr>
                  <w:t>Financing Gap</w:t>
                </w:r>
              </w:p>
            </w:tc>
            <w:tc>
              <w:tcPr>
                <w:tcW w:w="3894"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B803C28" w14:textId="77777777" w:rsidR="009235B0" w:rsidRDefault="000603E8" w:rsidP="00082759">
                <w:pPr>
                  <w:jc w:val="right"/>
                  <w:rPr>
                    <w:color w:val="767171" w:themeColor="background2" w:themeShade="80"/>
                  </w:rPr>
                </w:pPr>
                <w:r>
                  <w:rPr>
                    <w:noProof/>
                  </w:rPr>
                  <w:t>0.00</w:t>
                </w:r>
              </w:p>
            </w:tc>
          </w:tr>
          <w:tr w:rsidR="00B649D6" w14:paraId="580F020B" w14:textId="77777777" w:rsidTr="0076541A">
            <w:trPr>
              <w:trHeight w:val="350"/>
            </w:trPr>
            <w:tc>
              <w:tcPr>
                <w:tcW w:w="10800" w:type="dxa"/>
                <w:gridSpan w:val="2"/>
                <w:tcBorders>
                  <w:top w:val="single" w:sz="4" w:space="0" w:color="D9D9D9"/>
                </w:tcBorders>
                <w:shd w:val="clear" w:color="auto" w:fill="F7F7F7"/>
              </w:tcPr>
              <w:p w14:paraId="50EE1100" w14:textId="77777777" w:rsidR="009235B0" w:rsidRDefault="009235B0" w:rsidP="00B26BD7"/>
            </w:tc>
          </w:tr>
        </w:tbl>
        <w:p w14:paraId="52CE400E" w14:textId="77777777" w:rsidR="009235B0" w:rsidRPr="009235B0" w:rsidRDefault="009235B0" w:rsidP="009235B0">
          <w:pPr>
            <w:shd w:val="clear" w:color="auto" w:fill="F7F7F7"/>
            <w:spacing w:after="0" w:line="14" w:lineRule="exact"/>
            <w:ind w:left="-691" w:right="-691"/>
            <w:rPr>
              <w:color w:val="F7F7F7"/>
            </w:rPr>
          </w:pPr>
        </w:p>
        <w:p w14:paraId="4D7C2DAE" w14:textId="77777777" w:rsidR="009235B0" w:rsidRPr="009235B0" w:rsidRDefault="009235B0" w:rsidP="009235B0">
          <w:pPr>
            <w:shd w:val="clear" w:color="auto" w:fill="F7F7F7"/>
            <w:spacing w:after="0" w:line="14" w:lineRule="exact"/>
            <w:ind w:left="-691" w:right="-691"/>
            <w:rPr>
              <w:color w:val="F7F7F7"/>
            </w:rPr>
          </w:pPr>
        </w:p>
        <w:p w14:paraId="2FF148D3" w14:textId="77777777" w:rsidR="009235B0" w:rsidRPr="00D856A3" w:rsidRDefault="009235B0" w:rsidP="00D856A3">
          <w:pPr>
            <w:shd w:val="clear" w:color="auto" w:fill="F7F7F7"/>
            <w:spacing w:after="0" w:line="14" w:lineRule="exact"/>
            <w:ind w:left="-691" w:right="-691"/>
            <w:rPr>
              <w:color w:val="F7F7F7"/>
            </w:rPr>
          </w:pPr>
        </w:p>
        <w:tbl>
          <w:tblPr>
            <w:tblStyle w:val="TableGrid1435"/>
            <w:tblW w:w="10800" w:type="dxa"/>
            <w:tblInd w:w="-720" w:type="dxa"/>
            <w:tblBorders>
              <w:top w:val="single" w:sz="4" w:space="0" w:color="D9D9D9"/>
              <w:left w:val="none" w:sz="0" w:space="0" w:color="auto"/>
              <w:bottom w:val="single" w:sz="4" w:space="0" w:color="D9D9D9"/>
              <w:right w:val="none" w:sz="0" w:space="0" w:color="auto"/>
              <w:insideH w:val="single" w:sz="4" w:space="0" w:color="D9D9D9"/>
              <w:insideV w:val="single" w:sz="4" w:space="0" w:color="D9D9D9"/>
            </w:tblBorders>
            <w:shd w:val="clear" w:color="auto" w:fill="F7F7F7"/>
            <w:tblLayout w:type="fixed"/>
            <w:tblLook w:val="04A0" w:firstRow="1" w:lastRow="0" w:firstColumn="1" w:lastColumn="0" w:noHBand="0" w:noVBand="1"/>
          </w:tblPr>
          <w:tblGrid>
            <w:gridCol w:w="7740"/>
            <w:gridCol w:w="3060"/>
          </w:tblGrid>
          <w:tr w:rsidR="00B649D6" w14:paraId="0FDC740A" w14:textId="77777777" w:rsidTr="006217BF">
            <w:trPr>
              <w:trHeight w:val="467"/>
            </w:trPr>
            <w:tc>
              <w:tcPr>
                <w:tcW w:w="10800" w:type="dxa"/>
                <w:gridSpan w:val="2"/>
                <w:tcBorders>
                  <w:top w:val="nil"/>
                  <w:bottom w:val="nil"/>
                </w:tcBorders>
                <w:shd w:val="clear" w:color="auto" w:fill="F7F7F7"/>
              </w:tcPr>
              <w:p w14:paraId="56838D9C" w14:textId="77777777" w:rsidR="002E128C" w:rsidRPr="00304676" w:rsidRDefault="000603E8" w:rsidP="00B26BD7">
                <w:pPr>
                  <w:tabs>
                    <w:tab w:val="left" w:pos="10962"/>
                  </w:tabs>
                  <w:ind w:left="-24"/>
                </w:pPr>
                <w:r w:rsidRPr="00304676">
                  <w:rPr>
                    <w:b/>
                    <w:color w:val="002060"/>
                  </w:rPr>
                  <w:t>DETAILS</w:t>
                </w:r>
                <w:r w:rsidRPr="00304676">
                  <w:rPr>
                    <w:b/>
                    <w:color w:val="FFFFFF" w:themeColor="background1"/>
                    <w:sz w:val="2"/>
                    <w:szCs w:val="2"/>
                  </w:rPr>
                  <w:t>-NewFinEnh1</w:t>
                </w:r>
              </w:p>
            </w:tc>
          </w:tr>
          <w:tr w:rsidR="00B649D6" w14:paraId="4CDCDAF7" w14:textId="77777777" w:rsidTr="003D2D61">
            <w:trPr>
              <w:trHeight w:val="432"/>
            </w:trPr>
            <w:tc>
              <w:tcPr>
                <w:tcW w:w="10800" w:type="dxa"/>
                <w:gridSpan w:val="2"/>
                <w:tcBorders>
                  <w:top w:val="nil"/>
                  <w:left w:val="nil"/>
                  <w:bottom w:val="single" w:sz="4" w:space="0" w:color="D9D9D9"/>
                  <w:right w:val="nil"/>
                </w:tcBorders>
                <w:shd w:val="clear" w:color="auto" w:fill="F7F7F7"/>
                <w:vAlign w:val="center"/>
              </w:tcPr>
              <w:p w14:paraId="175C595C" w14:textId="77777777" w:rsidR="002E128C" w:rsidRPr="00304676" w:rsidRDefault="000603E8" w:rsidP="00BC27C6">
                <w:pPr>
                  <w:tabs>
                    <w:tab w:val="left" w:pos="598"/>
                    <w:tab w:val="right" w:pos="2844"/>
                  </w:tabs>
                </w:pPr>
                <w:r w:rsidRPr="00304676">
                  <w:rPr>
                    <w:b/>
                  </w:rPr>
                  <w:t>Non-World Bank Group Financing</w:t>
                </w:r>
              </w:p>
            </w:tc>
          </w:tr>
          <w:tr w:rsidR="00B649D6" w14:paraId="321CEDA1"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4FC90694" w14:textId="77777777" w:rsidR="002E128C" w:rsidRPr="00304676" w:rsidRDefault="000603E8" w:rsidP="00BC27C6">
                <w:pPr>
                  <w:rPr>
                    <w:sz w:val="10"/>
                    <w:szCs w:val="10"/>
                  </w:rPr>
                </w:pPr>
                <w:r w:rsidRPr="00304676">
                  <w:fldChar w:fldCharType="begin"/>
                </w:r>
                <w:r w:rsidRPr="00304676">
                  <w:instrText xml:space="preserve"> IF</w:instrText>
                </w:r>
                <w:r w:rsidRPr="00304676">
                  <w:rPr>
                    <w:noProof/>
                  </w:rPr>
                  <w:instrText xml:space="preserve"> 1 </w:instrText>
                </w:r>
                <w:r w:rsidRPr="00304676">
                  <w:instrText xml:space="preserve">="1" "  </w:instrText>
                </w:r>
                <w:r w:rsidRPr="00304676">
                  <w:rPr>
                    <w:color w:val="404040"/>
                  </w:rPr>
                  <w:instrText xml:space="preserve">   </w:instrText>
                </w:r>
                <w:r w:rsidRPr="00304676">
                  <w:rPr>
                    <w:noProof/>
                    <w:color w:val="404040"/>
                  </w:rPr>
                  <w:instrText>Trust Funds</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="2" "          </w:instrText>
                </w:r>
                <w:r w:rsidRPr="00304676">
                  <w:rPr>
                    <w:color w:val="595959"/>
                    <w:sz w:val="21"/>
                    <w:szCs w:val="21"/>
                  </w:rPr>
                  <w:fldChar w:fldCharType="begin"/>
                </w:r>
                <w:r w:rsidRPr="00304676">
                  <w:rPr>
                    <w:color w:val="595959"/>
                    <w:sz w:val="21"/>
                    <w:szCs w:val="21"/>
                  </w:rPr>
                  <w:instrText xml:space="preserve"> MERGEFIELD  FINCR_NAME  \* MERGEFORMAT </w:instrText>
                </w:r>
                <w:r w:rsidRPr="00304676">
                  <w:rPr>
                    <w:color w:val="595959"/>
                    <w:sz w:val="21"/>
                    <w:szCs w:val="21"/>
                  </w:rPr>
                  <w:fldChar w:fldCharType="separate"/>
                </w:r>
                <w:r w:rsidRPr="00304676">
                  <w:rPr>
                    <w:noProof/>
                    <w:color w:val="595959"/>
                    <w:sz w:val="21"/>
                    <w:szCs w:val="21"/>
                  </w:rPr>
                  <w:instrText>«FINCR_NAME»</w:instrText>
                </w:r>
                <w:r w:rsidRPr="00304676">
                  <w:rPr>
                    <w:color w:val="595959"/>
                    <w:sz w:val="21"/>
                    <w:szCs w:val="21"/>
                  </w:rPr>
                  <w:fldChar w:fldCharType="end"/>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t xml:space="preserve">  </w:t>
                </w:r>
                <w:r w:rsidRPr="00304676">
                  <w:rPr>
                    <w:color w:val="404040"/>
                  </w:rPr>
                  <w:t xml:space="preserve">   </w:t>
                </w:r>
                <w:r w:rsidRPr="00304676">
                  <w:rPr>
                    <w:noProof/>
                    <w:color w:val="404040"/>
                  </w:rPr>
                  <w:t>Trust Funds</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6E0E353A" w14:textId="77777777" w:rsidR="002E128C" w:rsidRPr="00304676" w:rsidRDefault="000603E8" w:rsidP="00946599">
                <w:pPr>
                  <w:tabs>
                    <w:tab w:val="left" w:pos="598"/>
                    <w:tab w:val="right" w:pos="2844"/>
                  </w:tabs>
                  <w:ind w:right="91"/>
                  <w:jc w:val="right"/>
                </w:pPr>
                <w:r w:rsidRPr="00304676">
                  <w:rPr>
                    <w:noProof/>
                  </w:rPr>
                  <w:t>37.89</w:t>
                </w:r>
              </w:p>
            </w:tc>
          </w:tr>
          <w:tr w:rsidR="00B649D6" w14:paraId="0781A44A" w14:textId="77777777" w:rsidTr="00BC27C6">
            <w:trPr>
              <w:trHeight w:val="432"/>
            </w:trPr>
            <w:tc>
              <w:tcPr>
                <w:tcW w:w="7740" w:type="dxa"/>
                <w:tcBorders>
                  <w:top w:val="single" w:sz="4" w:space="0" w:color="D9D9D9"/>
                  <w:left w:val="single" w:sz="4" w:space="0" w:color="D9D9D9"/>
                  <w:bottom w:val="single" w:sz="4" w:space="0" w:color="D9D9D9"/>
                </w:tcBorders>
                <w:shd w:val="clear" w:color="auto" w:fill="F7F7F7"/>
                <w:vAlign w:val="center"/>
              </w:tcPr>
              <w:p w14:paraId="1AD50132" w14:textId="77777777" w:rsidR="002E128C" w:rsidRPr="00304676" w:rsidRDefault="000603E8" w:rsidP="00BC27C6">
                <w:pPr>
                  <w:rPr>
                    <w:sz w:val="10"/>
                    <w:szCs w:val="10"/>
                  </w:rPr>
                </w:pPr>
                <w:r w:rsidRPr="00304676">
                  <w:fldChar w:fldCharType="begin"/>
                </w:r>
                <w:r w:rsidRPr="00304676">
                  <w:instrText xml:space="preserve"> IF</w:instrText>
                </w:r>
                <w:r w:rsidRPr="00304676">
                  <w:rPr>
                    <w:noProof/>
                  </w:rPr>
                  <w:instrText xml:space="preserve"> 2 </w:instrText>
                </w:r>
                <w:r w:rsidRPr="00304676">
                  <w:instrText xml:space="preserve">="1" "  </w:instrText>
                </w:r>
                <w:r w:rsidRPr="00304676">
                  <w:rPr>
                    <w:color w:val="404040"/>
                  </w:rPr>
                  <w:instrText xml:space="preserve">   </w:instrText>
                </w:r>
                <w:r w:rsidRPr="00304676">
                  <w:rPr>
                    <w:color w:val="404040"/>
                  </w:rPr>
                  <w:fldChar w:fldCharType="begin"/>
                </w:r>
                <w:r w:rsidRPr="00304676">
                  <w:rPr>
                    <w:color w:val="404040"/>
                  </w:rPr>
                  <w:instrText xml:space="preserve"> MERGEFIELD  FINCR_NAME  \* MERGEFORMAT </w:instrText>
                </w:r>
                <w:r w:rsidRPr="00304676">
                  <w:rPr>
                    <w:color w:val="404040"/>
                  </w:rPr>
                  <w:fldChar w:fldCharType="separate"/>
                </w:r>
                <w:r w:rsidRPr="00304676">
                  <w:rPr>
                    <w:noProof/>
                    <w:color w:val="404040"/>
                  </w:rPr>
                  <w:instrText>«FINCR_NAME»</w:instrText>
                </w:r>
                <w:r w:rsidRPr="00304676">
                  <w:rPr>
                    <w:color w:val="404040"/>
                  </w:rPr>
                  <w:fldChar w:fldCharType="end"/>
                </w:r>
                <w:r w:rsidRPr="00304676">
                  <w:instrText>" "</w:instrText>
                </w:r>
                <w:r w:rsidRPr="00304676">
                  <w:fldChar w:fldCharType="begin"/>
                </w:r>
                <w:r w:rsidRPr="00304676">
                  <w:instrText xml:space="preserve"> IF</w:instrText>
                </w:r>
                <w:r w:rsidRPr="00304676">
                  <w:rPr>
                    <w:noProof/>
                  </w:rPr>
                  <w:instrText xml:space="preserve"> 2 </w:instrText>
                </w:r>
                <w:r w:rsidRPr="00304676">
                  <w:instrText xml:space="preserve">="2" "          </w:instrText>
                </w:r>
                <w:r w:rsidRPr="00304676">
                  <w:rPr>
                    <w:noProof/>
                    <w:color w:val="595959"/>
                    <w:sz w:val="21"/>
                    <w:szCs w:val="21"/>
                  </w:rPr>
                  <w:instrText>Global Environment Facility (GEF)</w:instrText>
                </w:r>
                <w:r w:rsidRPr="00304676">
                  <w:instrText>"  "</w:instrText>
                </w:r>
                <w:r w:rsidRPr="00304676">
                  <w:fldChar w:fldCharType="begin"/>
                </w:r>
                <w:r w:rsidRPr="00304676">
                  <w:instrText xml:space="preserve"> IF</w:instrText>
                </w:r>
                <w:r w:rsidR="002F4EAB">
                  <w:rPr>
                    <w:noProof/>
                  </w:rPr>
                  <w:fldChar w:fldCharType="begin"/>
                </w:r>
                <w:r w:rsidR="002F4EAB">
                  <w:rPr>
                    <w:noProof/>
                  </w:rPr>
                  <w:instrText xml:space="preserve"> MERGEFIELD  LEVEL  \* MERGEFORMAT </w:instrText>
                </w:r>
                <w:r w:rsidR="002F4EAB">
                  <w:rPr>
                    <w:noProof/>
                  </w:rPr>
                  <w:fldChar w:fldCharType="separate"/>
                </w:r>
                <w:r w:rsidRPr="00304676">
                  <w:rPr>
                    <w:noProof/>
                  </w:rPr>
                  <w:instrText>«LEVEL»</w:instrText>
                </w:r>
                <w:r w:rsidR="002F4EAB">
                  <w:rPr>
                    <w:noProof/>
                  </w:rPr>
                  <w:fldChar w:fldCharType="end"/>
                </w:r>
                <w:r w:rsidRPr="00304676">
                  <w:instrText xml:space="preserve">="3"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 xml:space="preserve">" "                    </w:instrText>
                </w:r>
                <w:r w:rsidRPr="00304676">
                  <w:rPr>
                    <w:color w:val="7F7F7F"/>
                    <w:sz w:val="20"/>
                    <w:szCs w:val="20"/>
                  </w:rPr>
                  <w:fldChar w:fldCharType="begin"/>
                </w:r>
                <w:r w:rsidRPr="00304676">
                  <w:rPr>
                    <w:color w:val="7F7F7F"/>
                    <w:sz w:val="20"/>
                    <w:szCs w:val="20"/>
                  </w:rPr>
                  <w:instrText xml:space="preserve"> MERGEFIELD  FINCR_NAME  \* MERGEFORMAT </w:instrText>
                </w:r>
                <w:r w:rsidRPr="00304676">
                  <w:rPr>
                    <w:color w:val="7F7F7F"/>
                    <w:sz w:val="20"/>
                    <w:szCs w:val="20"/>
                  </w:rPr>
                  <w:fldChar w:fldCharType="separate"/>
                </w:r>
                <w:r w:rsidRPr="00304676">
                  <w:rPr>
                    <w:noProof/>
                    <w:color w:val="7F7F7F"/>
                    <w:sz w:val="20"/>
                    <w:szCs w:val="20"/>
                  </w:rPr>
                  <w:instrText>«FINCR_NAME»</w:instrText>
                </w:r>
                <w:r w:rsidRPr="00304676">
                  <w:rPr>
                    <w:color w:val="7F7F7F"/>
                    <w:sz w:val="20"/>
                    <w:szCs w:val="20"/>
                  </w:rPr>
                  <w:fldChar w:fldCharType="end"/>
                </w:r>
                <w:r w:rsidRPr="00304676">
                  <w:instrText>"</w:instrText>
                </w:r>
                <w:r w:rsidRPr="00304676">
                  <w:fldChar w:fldCharType="separate"/>
                </w:r>
                <w:r w:rsidRPr="00304676">
                  <w:rPr>
                    <w:noProof/>
                  </w:rPr>
                  <w:instrText xml:space="preserve">                    </w:instrText>
                </w:r>
                <w:r w:rsidRPr="00304676">
                  <w:rPr>
                    <w:noProof/>
                    <w:color w:val="7F7F7F"/>
                    <w:sz w:val="20"/>
                    <w:szCs w:val="20"/>
                  </w:rPr>
                  <w:fldChar w:fldCharType="begin"/>
                </w:r>
                <w:r w:rsidRPr="00304676">
                  <w:rPr>
                    <w:noProof/>
                    <w:color w:val="7F7F7F"/>
                    <w:sz w:val="20"/>
                    <w:szCs w:val="20"/>
                  </w:rPr>
                  <w:instrText xml:space="preserve"> MERGEFIELD  FINCR_NAME  \* MERGEFORMAT </w:instrText>
                </w:r>
                <w:r w:rsidRPr="00304676">
                  <w:rPr>
                    <w:noProof/>
                    <w:color w:val="7F7F7F"/>
                    <w:sz w:val="20"/>
                    <w:szCs w:val="20"/>
                  </w:rPr>
                  <w:fldChar w:fldCharType="separate"/>
                </w:r>
                <w:r w:rsidRPr="00304676">
                  <w:rPr>
                    <w:noProof/>
                    <w:color w:val="7F7F7F"/>
                    <w:sz w:val="20"/>
                    <w:szCs w:val="20"/>
                  </w:rPr>
                  <w:instrText>«FINCR_NAME»</w:instrText>
                </w:r>
                <w:r w:rsidRPr="00304676">
                  <w:rPr>
                    <w:noProof/>
                    <w:color w:val="7F7F7F"/>
                    <w:sz w:val="20"/>
                    <w:szCs w:val="20"/>
                  </w:rPr>
                  <w:fldChar w:fldCharType="end"/>
                </w:r>
                <w:r w:rsidRPr="00304676">
                  <w:fldChar w:fldCharType="end"/>
                </w:r>
                <w:r w:rsidRPr="00304676">
                  <w:instrText xml:space="preserve">"  </w:instrText>
                </w:r>
                <w:r w:rsidRPr="00304676">
                  <w:fldChar w:fldCharType="separate"/>
                </w:r>
                <w:r w:rsidRPr="00304676">
                  <w:instrText xml:space="preserve">          </w:instrText>
                </w:r>
                <w:r w:rsidRPr="00304676">
                  <w:rPr>
                    <w:noProof/>
                    <w:color w:val="595959"/>
                    <w:sz w:val="21"/>
                    <w:szCs w:val="21"/>
                  </w:rPr>
                  <w:instrText>Global Environment Facility (GEF)</w:instrText>
                </w:r>
                <w:r w:rsidRPr="00304676">
                  <w:fldChar w:fldCharType="end"/>
                </w:r>
                <w:r w:rsidRPr="00304676">
                  <w:instrText xml:space="preserve">"  </w:instrText>
                </w:r>
                <w:r w:rsidRPr="00304676">
                  <w:fldChar w:fldCharType="separate"/>
                </w:r>
                <w:r w:rsidRPr="00304676">
                  <w:t xml:space="preserve">          </w:t>
                </w:r>
                <w:r w:rsidRPr="00304676">
                  <w:rPr>
                    <w:noProof/>
                    <w:color w:val="595959"/>
                    <w:sz w:val="21"/>
                    <w:szCs w:val="21"/>
                  </w:rPr>
                  <w:t>Global Environment Facility (GEF)</w:t>
                </w:r>
                <w:r w:rsidRPr="00304676">
                  <w:fldChar w:fldCharType="end"/>
                </w:r>
              </w:p>
            </w:tc>
            <w:tc>
              <w:tcPr>
                <w:tcW w:w="3060" w:type="dxa"/>
                <w:tcBorders>
                  <w:top w:val="single" w:sz="4" w:space="0" w:color="D9D9D9"/>
                  <w:bottom w:val="single" w:sz="4" w:space="0" w:color="D9D9D9"/>
                  <w:right w:val="single" w:sz="4" w:space="0" w:color="D9D9D9"/>
                </w:tcBorders>
                <w:shd w:val="clear" w:color="auto" w:fill="F7F7F7"/>
                <w:tcMar>
                  <w:left w:w="0" w:type="dxa"/>
                  <w:right w:w="0" w:type="dxa"/>
                </w:tcMar>
                <w:vAlign w:val="center"/>
              </w:tcPr>
              <w:p w14:paraId="789BAE7B" w14:textId="77777777" w:rsidR="002E128C" w:rsidRPr="00304676" w:rsidRDefault="000603E8" w:rsidP="00946599">
                <w:pPr>
                  <w:tabs>
                    <w:tab w:val="left" w:pos="598"/>
                    <w:tab w:val="right" w:pos="2844"/>
                  </w:tabs>
                  <w:ind w:right="91"/>
                  <w:jc w:val="right"/>
                </w:pPr>
                <w:r w:rsidRPr="00304676">
                  <w:rPr>
                    <w:noProof/>
                  </w:rPr>
                  <w:t>37.89</w:t>
                </w:r>
              </w:p>
            </w:tc>
          </w:tr>
          <w:tr w:rsidR="00B649D6" w14:paraId="73872AD9" w14:textId="77777777" w:rsidTr="002B5E24">
            <w:trPr>
              <w:trHeight w:val="143"/>
            </w:trPr>
            <w:tc>
              <w:tcPr>
                <w:tcW w:w="10800" w:type="dxa"/>
                <w:gridSpan w:val="2"/>
                <w:tcBorders>
                  <w:top w:val="single" w:sz="4" w:space="0" w:color="D9D9D9"/>
                  <w:left w:val="nil"/>
                  <w:bottom w:val="nil"/>
                  <w:right w:val="nil"/>
                </w:tcBorders>
                <w:shd w:val="clear" w:color="auto" w:fill="F7F7F7"/>
              </w:tcPr>
              <w:p w14:paraId="13886B40" w14:textId="77777777" w:rsidR="00DE34F6" w:rsidRPr="00304676" w:rsidRDefault="00DE34F6" w:rsidP="00DE34F6">
                <w:pPr>
                  <w:tabs>
                    <w:tab w:val="left" w:pos="598"/>
                    <w:tab w:val="right" w:pos="2844"/>
                  </w:tabs>
                  <w:spacing w:line="160" w:lineRule="exact"/>
                  <w:jc w:val="right"/>
                </w:pPr>
              </w:p>
            </w:tc>
          </w:tr>
        </w:tbl>
        <w:p w14:paraId="2383B44E" w14:textId="77777777" w:rsidR="009235B0" w:rsidRDefault="009235B0" w:rsidP="00DE34F6">
          <w:pPr>
            <w:shd w:val="clear" w:color="auto" w:fill="F7F7F7"/>
            <w:spacing w:after="0" w:line="14" w:lineRule="exact"/>
            <w:ind w:left="-691" w:right="-691"/>
          </w:pPr>
        </w:p>
        <w:p w14:paraId="0EA8D65A" w14:textId="77777777" w:rsidR="002E128C" w:rsidRDefault="002E128C" w:rsidP="006362CE">
          <w:pPr>
            <w:shd w:val="clear" w:color="auto" w:fill="F7F7F7"/>
            <w:spacing w:after="0" w:line="14" w:lineRule="exact"/>
            <w:ind w:left="-691" w:right="-691"/>
          </w:pPr>
        </w:p>
        <w:p w14:paraId="7E33EF24" w14:textId="77777777" w:rsidR="002E128C" w:rsidRDefault="002E128C" w:rsidP="00C44B22">
          <w:pPr>
            <w:shd w:val="clear" w:color="auto" w:fill="F7F7F7"/>
            <w:spacing w:after="0" w:line="14" w:lineRule="exact"/>
            <w:ind w:left="-691" w:right="-691"/>
          </w:pPr>
        </w:p>
        <w:tbl>
          <w:tblPr>
            <w:tblStyle w:val="TableGrid2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115" w:type="dxa"/>
              <w:right w:w="115" w:type="dxa"/>
            </w:tblCellMar>
            <w:tblLook w:val="04A0" w:firstRow="1" w:lastRow="0" w:firstColumn="1" w:lastColumn="0" w:noHBand="0" w:noVBand="1"/>
          </w:tblPr>
          <w:tblGrid>
            <w:gridCol w:w="10800"/>
          </w:tblGrid>
          <w:tr w:rsidR="00B649D6" w14:paraId="6BD86A12" w14:textId="77777777" w:rsidTr="002230F4">
            <w:trPr>
              <w:trHeight w:val="448"/>
            </w:trPr>
            <w:tc>
              <w:tcPr>
                <w:tcW w:w="10800" w:type="dxa"/>
                <w:shd w:val="clear" w:color="auto" w:fill="F7F7F7"/>
                <w:vAlign w:val="center"/>
                <w:hideMark/>
              </w:tcPr>
              <w:p w14:paraId="296A3DFA" w14:textId="77777777" w:rsidR="009D5C24" w:rsidRPr="002230F4" w:rsidRDefault="000603E8" w:rsidP="007E1A9B">
                <w:pPr>
                  <w:widowControl w:val="0"/>
                  <w:autoSpaceDE w:val="0"/>
                  <w:autoSpaceDN w:val="0"/>
                  <w:adjustRightInd w:val="0"/>
                  <w:rPr>
                    <w:rFonts w:asciiTheme="minorHAnsi" w:eastAsia="Times New Roman" w:hAnsiTheme="minorHAnsi" w:cs="Arial"/>
                    <w:color w:val="000000"/>
                  </w:rPr>
                </w:pPr>
                <w:r w:rsidRPr="003F1F01">
                  <w:rPr>
                    <w:color w:val="767171"/>
                  </w:rPr>
                  <w:t>Environmental and Social Risk Classification</w:t>
                </w:r>
              </w:p>
            </w:tc>
          </w:tr>
          <w:tr w:rsidR="00B649D6" w14:paraId="4D7ECE75" w14:textId="77777777" w:rsidTr="002230F4">
            <w:trPr>
              <w:trHeight w:val="77"/>
            </w:trPr>
            <w:tc>
              <w:tcPr>
                <w:tcW w:w="10800" w:type="dxa"/>
                <w:shd w:val="clear" w:color="auto" w:fill="F7F7F7"/>
                <w:hideMark/>
              </w:tcPr>
              <w:p w14:paraId="686A34F7" w14:textId="77777777" w:rsidR="009D5C24" w:rsidRPr="002230F4" w:rsidRDefault="00613726" w:rsidP="007E1A9B">
                <w:pPr>
                  <w:widowControl w:val="0"/>
                  <w:autoSpaceDE w:val="0"/>
                  <w:autoSpaceDN w:val="0"/>
                  <w:adjustRightInd w:val="0"/>
                  <w:rPr>
                    <w:rFonts w:asciiTheme="minorHAnsi" w:eastAsia="Times New Roman" w:hAnsiTheme="minorHAnsi" w:cs="Arial"/>
                    <w:color w:val="000000"/>
                  </w:rPr>
                </w:pPr>
                <w:r>
                  <w:rPr>
                    <w:rFonts w:eastAsia="Times New Roman" w:cs="Arial"/>
                    <w:noProof/>
                    <w:color w:val="000000"/>
                  </w:rPr>
                  <w:t>Substantial</w:t>
                </w:r>
              </w:p>
            </w:tc>
          </w:tr>
          <w:tr w:rsidR="00B649D6" w14:paraId="208077B4" w14:textId="77777777" w:rsidTr="002230F4">
            <w:trPr>
              <w:trHeight w:val="77"/>
            </w:trPr>
            <w:tc>
              <w:tcPr>
                <w:tcW w:w="10800" w:type="dxa"/>
                <w:shd w:val="clear" w:color="auto" w:fill="F7F7F7"/>
              </w:tcPr>
              <w:p w14:paraId="14C33978" w14:textId="77777777" w:rsidR="00AA0A78" w:rsidRPr="002230F4" w:rsidRDefault="00AA0A78" w:rsidP="007E1A9B">
                <w:pPr>
                  <w:widowControl w:val="0"/>
                  <w:autoSpaceDE w:val="0"/>
                  <w:autoSpaceDN w:val="0"/>
                  <w:adjustRightInd w:val="0"/>
                  <w:rPr>
                    <w:rFonts w:eastAsia="Times New Roman" w:cs="Arial"/>
                    <w:color w:val="000000"/>
                  </w:rPr>
                </w:pPr>
              </w:p>
            </w:tc>
          </w:tr>
        </w:tbl>
        <w:p w14:paraId="7B7CF653" w14:textId="77777777" w:rsidR="00572991" w:rsidRPr="002230F4" w:rsidRDefault="00572991" w:rsidP="00AA0A78">
          <w:pPr>
            <w:shd w:val="clear" w:color="auto" w:fill="F7F7F7"/>
            <w:spacing w:after="0" w:line="14" w:lineRule="exact"/>
            <w:ind w:left="-691" w:right="-691"/>
          </w:pPr>
        </w:p>
        <w:p w14:paraId="0402C85D" w14:textId="77777777" w:rsidR="008D2AF0" w:rsidRPr="002230F4" w:rsidRDefault="008D2AF0" w:rsidP="00AA0A78">
          <w:pPr>
            <w:shd w:val="clear" w:color="auto" w:fill="F7F7F7"/>
            <w:spacing w:after="0" w:line="14" w:lineRule="exact"/>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0800"/>
          </w:tblGrid>
          <w:tr w:rsidR="00B649D6" w14:paraId="554889F1" w14:textId="77777777" w:rsidTr="002230F4">
            <w:trPr>
              <w:trHeight w:val="323"/>
            </w:trPr>
            <w:tc>
              <w:tcPr>
                <w:tcW w:w="10800" w:type="dxa"/>
                <w:shd w:val="clear" w:color="auto" w:fill="F7F7F7"/>
                <w:hideMark/>
              </w:tcPr>
              <w:p w14:paraId="79CD5526" w14:textId="77777777" w:rsidR="008D2AF0" w:rsidRPr="002230F4" w:rsidRDefault="000603E8" w:rsidP="00AA0A78">
                <w:pPr>
                  <w:keepNext/>
                  <w:widowControl w:val="0"/>
                  <w:autoSpaceDE w:val="0"/>
                  <w:autoSpaceDN w:val="0"/>
                  <w:adjustRightInd w:val="0"/>
                  <w:ind w:left="43"/>
                  <w:rPr>
                    <w:rFonts w:eastAsiaTheme="minorEastAsia" w:cs="Arial"/>
                    <w:color w:val="000000"/>
                  </w:rPr>
                </w:pPr>
                <w:r w:rsidRPr="002230F4">
                  <w:rPr>
                    <w:color w:val="767171" w:themeColor="background2" w:themeShade="80"/>
                  </w:rPr>
                  <w:t>Decision</w:t>
                </w:r>
              </w:p>
            </w:tc>
          </w:tr>
          <w:tr w:rsidR="00B649D6" w14:paraId="79942669" w14:textId="77777777" w:rsidTr="002230F4">
            <w:trPr>
              <w:trHeight w:val="270"/>
            </w:trPr>
            <w:tc>
              <w:tcPr>
                <w:tcW w:w="10800" w:type="dxa"/>
                <w:shd w:val="clear" w:color="auto" w:fill="F7F7F7"/>
                <w:hideMark/>
              </w:tcPr>
              <w:p w14:paraId="5AE0B532" w14:textId="77777777" w:rsidR="008D2AF0" w:rsidRPr="002230F4" w:rsidRDefault="000603E8" w:rsidP="008D2AF0">
                <w:pPr>
                  <w:ind w:left="43"/>
                  <w:rPr>
                    <w:rFonts w:eastAsiaTheme="minorEastAsia" w:cs="Arial"/>
                    <w:color w:val="000000"/>
                  </w:rPr>
                </w:pPr>
                <w:r>
                  <w:rPr>
                    <w:rFonts w:eastAsia="Times New Roman" w:cs="Arial"/>
                    <w:noProof/>
                    <w:color w:val="000000"/>
                  </w:rPr>
                  <w:t>The review did authorize the team to appraise and negotiate</w:t>
                </w:r>
              </w:p>
            </w:tc>
          </w:tr>
        </w:tbl>
        <w:sdt>
          <w:sdtPr>
            <w:tag w:val="OPS_CORE_SECTION_END_1"/>
            <w:id w:val="1659465061"/>
            <w:lock w:val="sdtContentLocked"/>
            <w:placeholder>
              <w:docPart w:val="C5BA4AA63AE24473B824080B3C187DA0"/>
            </w:placeholder>
          </w:sdtPr>
          <w:sdtEndPr/>
          <w:sdtContent>
            <w:p w14:paraId="439295E3" w14:textId="77777777" w:rsidR="00DC6614" w:rsidRDefault="000603E8" w:rsidP="00667B45">
              <w:pPr>
                <w:spacing w:after="0" w:line="14" w:lineRule="exact"/>
                <w:ind w:left="-691" w:right="-691"/>
              </w:pPr>
              <w:r>
                <w:t xml:space="preserve"> </w:t>
              </w:r>
            </w:p>
          </w:sdtContent>
        </w:sdt>
      </w:sdtContent>
    </w:sdt>
    <w:p w14:paraId="698CF629" w14:textId="77777777" w:rsidR="00DC6614" w:rsidRDefault="00DC6614" w:rsidP="00667B45">
      <w:pPr>
        <w:spacing w:after="0" w:line="14" w:lineRule="exact"/>
        <w:ind w:left="-691" w:right="-691"/>
      </w:pPr>
    </w:p>
    <w:p w14:paraId="5FCC74C9" w14:textId="77777777" w:rsidR="00DC6614" w:rsidRDefault="00DC6614" w:rsidP="00667B45">
      <w:pPr>
        <w:spacing w:after="0" w:line="14" w:lineRule="exact"/>
        <w:ind w:left="-691" w:right="-691"/>
      </w:pPr>
    </w:p>
    <w:p w14:paraId="41A92075" w14:textId="77777777" w:rsidR="00DC6614" w:rsidRDefault="00DC6614" w:rsidP="00667B45">
      <w:pPr>
        <w:spacing w:after="0" w:line="14" w:lineRule="exact"/>
        <w:ind w:left="-691" w:right="-691"/>
        <w:sectPr w:rsidR="00DC6614" w:rsidSect="008D2AF0">
          <w:headerReference w:type="default" r:id="rId13"/>
          <w:footerReference w:type="default" r:id="rId14"/>
          <w:type w:val="continuous"/>
          <w:pgSz w:w="12240" w:h="15840"/>
          <w:pgMar w:top="1440" w:right="1440" w:bottom="1440" w:left="1440" w:header="720" w:footer="720" w:gutter="0"/>
          <w:cols w:space="720"/>
          <w:docGrid w:linePitch="360"/>
        </w:sectPr>
      </w:pPr>
    </w:p>
    <w:p w14:paraId="104EEF64" w14:textId="77777777" w:rsidR="001B0034" w:rsidRPr="002230F4" w:rsidRDefault="000603E8" w:rsidP="001B0034">
      <w:pPr>
        <w:spacing w:after="0" w:line="240" w:lineRule="auto"/>
        <w:ind w:left="-691" w:right="-691"/>
      </w:pPr>
      <w:r>
        <w:rPr>
          <w:noProof/>
        </w:rPr>
        <mc:AlternateContent>
          <mc:Choice Requires="wps">
            <w:drawing>
              <wp:anchor distT="0" distB="0" distL="114300" distR="114300" simplePos="0" relativeHeight="251660288" behindDoc="0" locked="0" layoutInCell="1" allowOverlap="1" wp14:anchorId="4896E25F" wp14:editId="5F773931">
                <wp:simplePos x="0" y="0"/>
                <wp:positionH relativeFrom="column">
                  <wp:posOffset>-919109</wp:posOffset>
                </wp:positionH>
                <wp:positionV relativeFrom="paragraph">
                  <wp:posOffset>170180</wp:posOffset>
                </wp:positionV>
                <wp:extent cx="7799705" cy="0"/>
                <wp:effectExtent l="0" t="0" r="10795" b="19050"/>
                <wp:wrapNone/>
                <wp:docPr id="23" name="Straight Connector 23"/>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3" o:spid="_x0000_s1027" style="mso-width-percent:0;mso-width-relative:margin;mso-wrap-distance-bottom:0;mso-wrap-distance-left:9pt;mso-wrap-distance-right:9pt;mso-wrap-distance-top:0;mso-wrap-style:square;position:absolute;visibility:visible;z-index:251661312" from="-72.35pt,13.4pt" to="541.8pt,13.4pt" strokecolor="gray">
                <v:stroke joinstyle="miter" dashstyle="dash" opacity="26214f"/>
              </v:line>
            </w:pict>
          </mc:Fallback>
        </mc:AlternateContent>
      </w:r>
    </w:p>
    <w:p w14:paraId="3F427C5C" w14:textId="77777777" w:rsidR="002230F4" w:rsidRDefault="002230F4"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B649D6" w14:paraId="2DA9C405" w14:textId="77777777" w:rsidTr="002230F4">
        <w:tc>
          <w:tcPr>
            <w:tcW w:w="10800" w:type="dxa"/>
            <w:hideMark/>
          </w:tcPr>
          <w:p w14:paraId="74A9B5A0" w14:textId="77777777" w:rsidR="008D2AF0" w:rsidRPr="00EC2C3B" w:rsidRDefault="000603E8" w:rsidP="008D2AF0">
            <w:pPr>
              <w:keepNext/>
              <w:widowControl w:val="0"/>
              <w:autoSpaceDE w:val="0"/>
              <w:autoSpaceDN w:val="0"/>
              <w:adjustRightInd w:val="0"/>
              <w:rPr>
                <w:rFonts w:asciiTheme="minorHAnsi" w:eastAsia="Times New Roman" w:hAnsiTheme="minorHAnsi" w:cs="Arial"/>
                <w:color w:val="767171"/>
              </w:rPr>
            </w:pPr>
            <w:r w:rsidRPr="00EC2C3B">
              <w:rPr>
                <w:rFonts w:asciiTheme="minorHAnsi" w:eastAsia="Times New Roman" w:hAnsiTheme="minorHAnsi" w:cs="Arial"/>
                <w:b/>
                <w:color w:val="172D5F"/>
              </w:rPr>
              <w:t>B. Introduction and Context</w:t>
            </w:r>
          </w:p>
        </w:tc>
      </w:tr>
    </w:tbl>
    <w:p w14:paraId="64D1C842" w14:textId="77777777" w:rsidR="008B52DA" w:rsidRPr="008B52DA" w:rsidRDefault="008B52DA" w:rsidP="008B52DA">
      <w:pPr>
        <w:pStyle w:val="ListParagraph"/>
        <w:widowControl w:val="0"/>
        <w:autoSpaceDE w:val="0"/>
        <w:autoSpaceDN w:val="0"/>
        <w:adjustRightInd w:val="0"/>
        <w:spacing w:after="0" w:line="240" w:lineRule="auto"/>
        <w:ind w:left="3"/>
        <w:jc w:val="both"/>
        <w:rPr>
          <w:rFonts w:cstheme="minorHAnsi"/>
          <w:bCs/>
        </w:rPr>
      </w:pPr>
    </w:p>
    <w:p w14:paraId="0C4074D3" w14:textId="6A00F754" w:rsidR="002E68B2" w:rsidRPr="002E68B2" w:rsidRDefault="000603E8" w:rsidP="002E68B2">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rPr>
        <w:t>Africa’s</w:t>
      </w:r>
      <w:bookmarkStart w:id="1" w:name="_Hlk32235708"/>
      <w:r w:rsidR="002E68B2">
        <w:rPr>
          <w:rFonts w:cstheme="minorHAnsi"/>
          <w:b/>
        </w:rPr>
        <w:t xml:space="preserve"> </w:t>
      </w:r>
      <w:r w:rsidR="0016455E" w:rsidRPr="002E68B2">
        <w:rPr>
          <w:rFonts w:cstheme="minorHAnsi"/>
          <w:b/>
          <w:bCs/>
        </w:rPr>
        <w:t>economy is growing rapidly, however its industry is heavily dependent on imports of chemicals.</w:t>
      </w:r>
      <w:r w:rsidR="0016455E" w:rsidRPr="002E68B2">
        <w:rPr>
          <w:rFonts w:cstheme="minorHAnsi"/>
        </w:rPr>
        <w:t xml:space="preserve"> Africa’s economic growth is forecast to rise to 4.1 percent in 2019</w:t>
      </w:r>
      <w:r w:rsidR="0016455E">
        <w:rPr>
          <w:rFonts w:cstheme="minorHAnsi"/>
          <w:vertAlign w:val="superscript"/>
        </w:rPr>
        <w:footnoteReference w:id="1"/>
      </w:r>
      <w:r w:rsidR="0016455E" w:rsidRPr="002E68B2">
        <w:rPr>
          <w:rFonts w:cstheme="minorHAnsi"/>
        </w:rPr>
        <w:t>. The industrial sector is progressively gaining ground and represents 4 to 32 percent of the national GDPs in most African countries</w:t>
      </w:r>
      <w:r w:rsidR="0016455E">
        <w:rPr>
          <w:rFonts w:cstheme="minorHAnsi"/>
          <w:vertAlign w:val="superscript"/>
        </w:rPr>
        <w:footnoteReference w:id="2"/>
      </w:r>
      <w:r w:rsidR="0016455E" w:rsidRPr="002E68B2">
        <w:rPr>
          <w:rFonts w:cstheme="minorHAnsi"/>
        </w:rPr>
        <w:t xml:space="preserve">. </w:t>
      </w:r>
      <w:r w:rsidR="0016455E" w:rsidRPr="002E68B2">
        <w:rPr>
          <w:rFonts w:cstheme="minorHAnsi"/>
          <w:bCs/>
        </w:rPr>
        <w:t xml:space="preserve">But many countries import chemicals for industrial, domestic, and agricultural uses. As a result, the region has witnessed a significant increase in the trade of hazardous materials, with serious impacts on environment and health. </w:t>
      </w:r>
      <w:r w:rsidR="0016455E" w:rsidRPr="002E68B2">
        <w:rPr>
          <w:rFonts w:cstheme="minorHAnsi"/>
        </w:rPr>
        <w:t>Among the most critical pollution management issues in Sub-Saharan Africa are those related to mercury use in the artisanal and small-scale gold mining (ASGM) sector, and management of electronic waste (e-waste).</w:t>
      </w:r>
    </w:p>
    <w:p w14:paraId="421D420F" w14:textId="77777777" w:rsidR="002E68B2" w:rsidRPr="002E68B2" w:rsidRDefault="002E68B2" w:rsidP="002E68B2">
      <w:pPr>
        <w:pStyle w:val="ListParagraph"/>
        <w:widowControl w:val="0"/>
        <w:autoSpaceDE w:val="0"/>
        <w:autoSpaceDN w:val="0"/>
        <w:adjustRightInd w:val="0"/>
        <w:spacing w:after="0" w:line="240" w:lineRule="auto"/>
        <w:ind w:left="3"/>
        <w:jc w:val="both"/>
        <w:rPr>
          <w:rFonts w:cstheme="minorHAnsi"/>
          <w:bCs/>
        </w:rPr>
      </w:pPr>
    </w:p>
    <w:p w14:paraId="171F0D1B" w14:textId="77777777" w:rsidR="002E68B2" w:rsidRDefault="0016455E" w:rsidP="002E68B2">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bCs/>
        </w:rPr>
        <w:t>An estimated 2.5 million people in Africa are at risk of exposure to toxic chemicals from ASGM</w:t>
      </w:r>
      <w:r>
        <w:rPr>
          <w:vertAlign w:val="superscript"/>
        </w:rPr>
        <w:footnoteReference w:id="3"/>
      </w:r>
      <w:r w:rsidRPr="002E68B2">
        <w:rPr>
          <w:rFonts w:cstheme="minorHAnsi"/>
          <w:bCs/>
        </w:rPr>
        <w:t xml:space="preserve">. </w:t>
      </w:r>
      <w:r w:rsidRPr="002E68B2">
        <w:rPr>
          <w:rFonts w:cstheme="minorHAnsi"/>
        </w:rPr>
        <w:t>Rising international gold prices have made ASGM an attractive employment alternative for struggling farmers, poor rural communities, and migrant laborers. Ghana and Tanzania each have ASGM workforces estimated at more than 1 million people</w:t>
      </w:r>
      <w:r>
        <w:rPr>
          <w:vertAlign w:val="superscript"/>
        </w:rPr>
        <w:footnoteReference w:id="4"/>
      </w:r>
      <w:r w:rsidRPr="002E68B2">
        <w:rPr>
          <w:rFonts w:cstheme="minorHAnsi"/>
        </w:rPr>
        <w:t xml:space="preserve">. However, </w:t>
      </w:r>
      <w:r w:rsidRPr="002E68B2">
        <w:rPr>
          <w:rFonts w:cstheme="minorHAnsi"/>
          <w:bCs/>
        </w:rPr>
        <w:t xml:space="preserve">ASGM has been consistently listed as a major source of water and soil pollution. Serious health concerns associated with heavy metal poisoning from metals </w:t>
      </w:r>
      <w:r w:rsidRPr="002E68B2">
        <w:rPr>
          <w:rFonts w:cstheme="minorHAnsi"/>
          <w:bCs/>
        </w:rPr>
        <w:lastRenderedPageBreak/>
        <w:t>like cadmium and mercury are disproportionally affecting poor and vulnerable people. It is estimated that gold production from large and small-scale mining accounts for about 45 percent of total mercury emissions on the continent</w:t>
      </w:r>
      <w:r>
        <w:rPr>
          <w:rStyle w:val="FootnoteReference"/>
          <w:rFonts w:cstheme="minorHAnsi"/>
        </w:rPr>
        <w:footnoteReference w:id="5"/>
      </w:r>
      <w:r w:rsidRPr="002E68B2">
        <w:rPr>
          <w:rFonts w:cstheme="minorHAnsi"/>
          <w:bCs/>
        </w:rPr>
        <w:t>. A mercury trade diagnostic study conducted by the ENB GP estimated that 90 to 95 percent of mercury used is smuggled from neighboring nations</w:t>
      </w:r>
      <w:r>
        <w:rPr>
          <w:rStyle w:val="FootnoteReference"/>
          <w:rFonts w:cstheme="minorHAnsi"/>
        </w:rPr>
        <w:footnoteReference w:id="6"/>
      </w:r>
      <w:r w:rsidRPr="002E68B2">
        <w:rPr>
          <w:rFonts w:cstheme="minorHAnsi"/>
          <w:bCs/>
        </w:rPr>
        <w:t>. However, there is limited data and knowledge about the amount of mercury used or the extent of mercury contamination and its health, environmental, and social impacts.</w:t>
      </w:r>
      <w:bookmarkStart w:id="2" w:name="_Hlk30603189"/>
    </w:p>
    <w:p w14:paraId="226562B2" w14:textId="77777777" w:rsidR="002E68B2" w:rsidRPr="002E68B2" w:rsidRDefault="002E68B2" w:rsidP="002E68B2">
      <w:pPr>
        <w:pStyle w:val="ListParagraph"/>
        <w:rPr>
          <w:rFonts w:cstheme="minorHAnsi"/>
          <w:b/>
        </w:rPr>
      </w:pPr>
    </w:p>
    <w:p w14:paraId="235A1C33" w14:textId="02FEDDF5" w:rsidR="002E68B2" w:rsidRDefault="0016455E" w:rsidP="002E68B2">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rPr>
        <w:t>The global generation of e-waste reached an estimated 50 million tons in 2018, with about 80 percent being shipped to developing countries in Asia and Africa</w:t>
      </w:r>
      <w:r w:rsidRPr="002E68B2">
        <w:rPr>
          <w:rFonts w:cstheme="minorHAnsi"/>
        </w:rPr>
        <w:t>.</w:t>
      </w:r>
      <w:r>
        <w:rPr>
          <w:rStyle w:val="FootnoteReference"/>
          <w:rFonts w:cstheme="minorHAnsi"/>
        </w:rPr>
        <w:footnoteReference w:id="7"/>
      </w:r>
      <w:r w:rsidRPr="002E68B2">
        <w:rPr>
          <w:rFonts w:cstheme="minorHAnsi"/>
        </w:rPr>
        <w:t xml:space="preserve"> </w:t>
      </w:r>
      <w:r w:rsidRPr="002E68B2">
        <w:rPr>
          <w:rFonts w:cstheme="minorHAnsi"/>
          <w:color w:val="000000" w:themeColor="text1"/>
        </w:rPr>
        <w:t>A study commissioned by the World Bank</w:t>
      </w:r>
      <w:r>
        <w:rPr>
          <w:rStyle w:val="FootnoteReference"/>
          <w:rFonts w:cstheme="minorHAnsi"/>
        </w:rPr>
        <w:footnoteReference w:id="8"/>
      </w:r>
      <w:r w:rsidRPr="002E68B2">
        <w:rPr>
          <w:rFonts w:cstheme="minorHAnsi"/>
          <w:color w:val="000000" w:themeColor="text1"/>
        </w:rPr>
        <w:t xml:space="preserve"> indicates that Ghana, Kenya, and Nigeria have the highest levels of e-waste in the region due to their growing involvement in Information and Communication Technologies (ICT) imports, recycling, and refurbishing. Countries such as Senegal and Uganda can expect e-waste flows from computers alone to increase four to eight folds by 2020</w:t>
      </w:r>
      <w:r>
        <w:rPr>
          <w:rStyle w:val="FootnoteReference"/>
          <w:rFonts w:cstheme="minorHAnsi"/>
        </w:rPr>
        <w:footnoteReference w:id="9"/>
      </w:r>
      <w:r w:rsidRPr="002E68B2">
        <w:rPr>
          <w:rFonts w:cstheme="minorHAnsi"/>
          <w:color w:val="000000" w:themeColor="text1"/>
        </w:rPr>
        <w:t xml:space="preserve">.  </w:t>
      </w:r>
      <w:r w:rsidRPr="002E68B2">
        <w:rPr>
          <w:rFonts w:cstheme="minorHAnsi"/>
          <w:bCs/>
        </w:rPr>
        <w:t>Improper recycling and disposal of heavy metals associated with the burning of e-waste is particularly acute in Africa, where environmental monitoring and regulatory enforcement are relatively weak. The mismanagement of chemicals, releases of unintentionally produced POPs (UPOPS)</w:t>
      </w:r>
      <w:r>
        <w:rPr>
          <w:rStyle w:val="FootnoteReference"/>
          <w:rFonts w:cstheme="minorHAnsi"/>
          <w:bCs/>
        </w:rPr>
        <w:footnoteReference w:id="10"/>
      </w:r>
      <w:r w:rsidRPr="002E68B2">
        <w:rPr>
          <w:rFonts w:cstheme="minorHAnsi"/>
          <w:bCs/>
        </w:rPr>
        <w:t xml:space="preserve"> from open-burning and other sources present serious threats to human health in many parts of Africa.</w:t>
      </w:r>
      <w:bookmarkStart w:id="3" w:name="_Hlk32239847"/>
      <w:bookmarkEnd w:id="1"/>
      <w:bookmarkEnd w:id="2"/>
    </w:p>
    <w:p w14:paraId="0BE58333" w14:textId="77777777" w:rsidR="0065228D" w:rsidRPr="00370B36" w:rsidRDefault="0065228D" w:rsidP="0065228D">
      <w:pPr>
        <w:ind w:left="-634"/>
        <w:jc w:val="both"/>
        <w:rPr>
          <w:rFonts w:cstheme="minorHAnsi"/>
          <w:bCs/>
        </w:rPr>
      </w:pPr>
    </w:p>
    <w:tbl>
      <w:tblPr>
        <w:tblStyle w:val="TableGrid"/>
        <w:tblW w:w="1071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65228D" w14:paraId="7C1E2E86" w14:textId="77777777" w:rsidTr="007463F5">
        <w:trPr>
          <w:trHeight w:val="80"/>
        </w:trPr>
        <w:tc>
          <w:tcPr>
            <w:tcW w:w="10710" w:type="dxa"/>
          </w:tcPr>
          <w:p w14:paraId="7EE6ECFA" w14:textId="77777777" w:rsidR="0065228D" w:rsidRPr="003F68ED" w:rsidRDefault="0065228D" w:rsidP="007463F5">
            <w:pPr>
              <w:pStyle w:val="Heading2"/>
              <w:keepLines w:val="0"/>
              <w:jc w:val="both"/>
              <w:outlineLvl w:val="1"/>
              <w:rPr>
                <w:rFonts w:asciiTheme="minorHAnsi" w:hAnsiTheme="minorHAnsi"/>
                <w:color w:val="172D5F"/>
                <w:sz w:val="22"/>
                <w:szCs w:val="22"/>
              </w:rPr>
            </w:pPr>
            <w:bookmarkStart w:id="4" w:name="_Toc256000132"/>
            <w:bookmarkStart w:id="5" w:name="_Toc256000103"/>
            <w:bookmarkStart w:id="6" w:name="_Toc30709381"/>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4"/>
            <w:bookmarkEnd w:id="5"/>
            <w:bookmarkEnd w:id="6"/>
          </w:p>
        </w:tc>
      </w:tr>
    </w:tbl>
    <w:p w14:paraId="285619E1" w14:textId="77777777" w:rsidR="002E68B2" w:rsidRPr="002E68B2" w:rsidRDefault="002E68B2" w:rsidP="002E68B2">
      <w:pPr>
        <w:pStyle w:val="ListParagraph"/>
        <w:rPr>
          <w:rFonts w:cstheme="minorHAnsi"/>
          <w:b/>
          <w:bCs/>
        </w:rPr>
      </w:pPr>
    </w:p>
    <w:p w14:paraId="00BA9944" w14:textId="33A6911B" w:rsidR="0065228D" w:rsidRP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2E68B2">
        <w:rPr>
          <w:rFonts w:cstheme="minorHAnsi"/>
          <w:b/>
          <w:bCs/>
        </w:rPr>
        <w:t xml:space="preserve">Mercury use in the ASGM sector and management of e-waste are among the most critical pollution management issues in Sub-Saharan Africa. </w:t>
      </w:r>
      <w:r w:rsidRPr="002E68B2">
        <w:rPr>
          <w:rFonts w:cstheme="minorHAnsi"/>
          <w:u w:val="single"/>
        </w:rPr>
        <w:t>Mercury</w:t>
      </w:r>
      <w:r w:rsidRPr="002E68B2">
        <w:rPr>
          <w:rFonts w:cstheme="minorHAnsi"/>
        </w:rPr>
        <w:t xml:space="preserve"> is used as an amalgamation agent in the ASGM operations. The informal, illegal, and unregulated nature of mercury use in such operations creates a legacy of severe adverse and irreversible environmental and health damage. Mercury contamination could have serious economic consequences to the lucrative local and regional fisheries, due to the potential health risks associated with its bio-accumulation in the food chains</w:t>
      </w:r>
      <w:r>
        <w:rPr>
          <w:rStyle w:val="FootnoteReference"/>
          <w:rFonts w:cstheme="minorHAnsi"/>
          <w:noProof/>
        </w:rPr>
        <w:footnoteReference w:id="11"/>
      </w:r>
      <w:r w:rsidRPr="002E68B2">
        <w:rPr>
          <w:rFonts w:eastAsia="SimSun" w:cstheme="minorHAnsi"/>
        </w:rPr>
        <w:t xml:space="preserve">. In addition, </w:t>
      </w:r>
      <w:r w:rsidRPr="002E68B2">
        <w:rPr>
          <w:rFonts w:cstheme="minorHAnsi"/>
        </w:rPr>
        <w:t xml:space="preserve">over the past 20 years, the ICT market has grown exponentially and is estimated to generate the fastest growing waste stream in the world, at 20-50 million tons per year. </w:t>
      </w:r>
      <w:r w:rsidRPr="002E68B2">
        <w:rPr>
          <w:rFonts w:cstheme="minorHAnsi"/>
          <w:u w:val="single"/>
        </w:rPr>
        <w:t>E-waste</w:t>
      </w:r>
      <w:r w:rsidRPr="002E68B2">
        <w:rPr>
          <w:rFonts w:cstheme="minorHAnsi"/>
        </w:rPr>
        <w:t xml:space="preserve"> is shipped, often illegally, to developing countries for recycling. </w:t>
      </w:r>
      <w:r w:rsidRPr="002E68B2">
        <w:rPr>
          <w:rFonts w:cstheme="minorHAnsi"/>
          <w:bCs/>
        </w:rPr>
        <w:t>It is a valuable commodity with more than 92 percent recoverable and reusable materials ranging from precious metals (</w:t>
      </w:r>
      <w:proofErr w:type="spellStart"/>
      <w:r w:rsidRPr="002E68B2">
        <w:rPr>
          <w:rFonts w:cstheme="minorHAnsi"/>
          <w:bCs/>
        </w:rPr>
        <w:t>ie</w:t>
      </w:r>
      <w:proofErr w:type="spellEnd"/>
      <w:r w:rsidRPr="002E68B2">
        <w:rPr>
          <w:rFonts w:cstheme="minorHAnsi"/>
          <w:bCs/>
        </w:rPr>
        <w:t>. gold, silver, copper, platinum, and palladium) to recyclable metals and plastics, with a potential value of € 55 billion</w:t>
      </w:r>
      <w:r>
        <w:rPr>
          <w:rStyle w:val="FootnoteReference"/>
          <w:rFonts w:cstheme="minorHAnsi"/>
          <w:bCs/>
        </w:rPr>
        <w:footnoteReference w:id="12"/>
      </w:r>
      <w:r w:rsidRPr="002E68B2">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2E68B2">
        <w:rPr>
          <w:rFonts w:cstheme="minorHAnsi"/>
        </w:rPr>
        <w:t xml:space="preserve">the quantities of e-waste accumulating in Sub-Saharan countries have been increasing exponentially in recent years. It is critical to address the policy environment for both mercury and e-waste </w:t>
      </w:r>
      <w:r w:rsidRPr="002E68B2">
        <w:rPr>
          <w:rFonts w:cstheme="minorHAnsi"/>
        </w:rPr>
        <w:lastRenderedPageBreak/>
        <w:t>management, improve knowledge on the economic and health impact of pollution, and facilitate access to cleaner technologies in the region.</w:t>
      </w:r>
    </w:p>
    <w:p w14:paraId="18197E6B" w14:textId="77777777" w:rsidR="0065228D" w:rsidRDefault="0065228D" w:rsidP="0065228D">
      <w:pPr>
        <w:pStyle w:val="ListParagraph"/>
        <w:widowControl w:val="0"/>
        <w:autoSpaceDE w:val="0"/>
        <w:autoSpaceDN w:val="0"/>
        <w:adjustRightInd w:val="0"/>
        <w:spacing w:after="0" w:line="240" w:lineRule="auto"/>
        <w:ind w:left="3"/>
        <w:jc w:val="both"/>
        <w:rPr>
          <w:rFonts w:cstheme="minorHAnsi"/>
          <w:bCs/>
        </w:rPr>
      </w:pPr>
    </w:p>
    <w:p w14:paraId="270A37CF"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 xml:space="preserve">The institutional and policy environment dealing with mercury and e-waste is weak at the national level. </w:t>
      </w:r>
      <w:r w:rsidRPr="0065228D">
        <w:rPr>
          <w:rFonts w:cstheme="minorHAnsi"/>
        </w:rPr>
        <w:t>Institutions</w:t>
      </w:r>
      <w:r w:rsidRPr="0065228D">
        <w:rPr>
          <w:rFonts w:cstheme="minorHAnsi"/>
          <w:bCs/>
        </w:rPr>
        <w:t xml:space="preserve"> in Sub-Saharan Africa lack effective regulations and enforcement, users lack adequate management strategies and technologies, and the public has limited information on environmental-health risks. </w:t>
      </w:r>
      <w:r w:rsidRPr="0065228D">
        <w:rPr>
          <w:rFonts w:cstheme="minorHAnsi"/>
          <w:color w:val="000000" w:themeColor="text1"/>
        </w:rPr>
        <w:t>Except for a</w:t>
      </w:r>
      <w:r w:rsidRPr="0065228D">
        <w:rPr>
          <w:rFonts w:cstheme="minorHAnsi"/>
        </w:rPr>
        <w:t xml:space="preserve"> few countries, like Ghana, there are no policies in place to manage mercury and e-waste related pollution. </w:t>
      </w:r>
      <w:r w:rsidRPr="0065228D">
        <w:rPr>
          <w:rFonts w:cstheme="minorHAnsi"/>
          <w:bCs/>
        </w:rPr>
        <w:t>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w:t>
      </w:r>
    </w:p>
    <w:p w14:paraId="3E338A40" w14:textId="77777777" w:rsidR="0065228D" w:rsidRPr="0065228D" w:rsidRDefault="0065228D" w:rsidP="0065228D">
      <w:pPr>
        <w:pStyle w:val="ListParagraph"/>
        <w:rPr>
          <w:rFonts w:cstheme="minorHAnsi"/>
          <w:b/>
          <w:bCs/>
        </w:rPr>
      </w:pPr>
    </w:p>
    <w:p w14:paraId="001BF233"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 xml:space="preserve">Multiple and fragmented approaches to address specific chemicals have not yielded the expected results. </w:t>
      </w:r>
      <w:r w:rsidRPr="0065228D">
        <w:rPr>
          <w:rFonts w:cstheme="minorHAnsi"/>
          <w:bCs/>
        </w:rPr>
        <w:t xml:space="preserve">Many programs have been implemented in the region by various development agencies, funded by GEF and bilateral donors. However, although the coverage of GEF POPs activities is broad, most programs have been site-specific and uncoordinated, generating only minimal improvement of environmental health and pollution impacts. Overall, </w:t>
      </w:r>
      <w:proofErr w:type="gramStart"/>
      <w:r w:rsidRPr="0065228D">
        <w:rPr>
          <w:rFonts w:cstheme="minorHAnsi"/>
          <w:bCs/>
        </w:rPr>
        <w:t>past experience</w:t>
      </w:r>
      <w:proofErr w:type="gramEnd"/>
      <w:r w:rsidRPr="0065228D">
        <w:rPr>
          <w:rFonts w:cstheme="minorHAnsi"/>
          <w:bCs/>
        </w:rPr>
        <w:t xml:space="preserve"> has shown that isolated policy and regulatory interventions in one country may not necessarily produce significant results, but rather, run the risk of shifting the problem toward other countries with weak regulations and enforcement. </w:t>
      </w:r>
    </w:p>
    <w:p w14:paraId="0A9E05F5" w14:textId="77777777" w:rsidR="0065228D" w:rsidRPr="0065228D" w:rsidRDefault="0065228D" w:rsidP="0065228D">
      <w:pPr>
        <w:pStyle w:val="ListParagraph"/>
        <w:rPr>
          <w:rFonts w:cstheme="minorHAnsi"/>
          <w:b/>
          <w:bCs/>
        </w:rPr>
      </w:pPr>
    </w:p>
    <w:p w14:paraId="236656A2"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Effective regulations combined with incentives would help governments deliver on commitments under key international agreements.</w:t>
      </w:r>
      <w:r w:rsidRPr="0065228D">
        <w:rPr>
          <w:rFonts w:cstheme="minorHAnsi"/>
          <w:bCs/>
        </w:rPr>
        <w:t xml:space="preserve"> Extensive consultations with African governments and partners indicate that there is a common understanding and demand for a more harmonized approach towards reducing environmental and health risks resulting from mercury and POPs emissions from wastes. Emerging recommendations from analytical studies support a need to harmonize efforts and to understand institutional capacity constraints and their economic, environmental, and social implications at the national and regional levels. Sub-Saharan African countries are at various stages of putting in place relevant policies and environmental legislation to support implementation of their commitments under the international conventions, including multiple initiatives under the framework of</w:t>
      </w:r>
      <w:r w:rsidRPr="0065228D">
        <w:rPr>
          <w:rFonts w:cstheme="minorHAnsi"/>
          <w:b/>
          <w:bCs/>
        </w:rPr>
        <w:t xml:space="preserve"> </w:t>
      </w:r>
      <w:r w:rsidRPr="0065228D">
        <w:rPr>
          <w:rFonts w:cstheme="minorHAnsi"/>
          <w:bCs/>
        </w:rPr>
        <w:t>Multilateral Environment Conventions, particularly the Minamata, Stockholm, and Basel Conventions.</w:t>
      </w:r>
    </w:p>
    <w:p w14:paraId="1BE79BA6" w14:textId="77777777" w:rsidR="0065228D" w:rsidRPr="0065228D" w:rsidRDefault="0065228D" w:rsidP="0065228D">
      <w:pPr>
        <w:pStyle w:val="ListParagraph"/>
        <w:rPr>
          <w:rFonts w:cstheme="minorHAnsi"/>
          <w:b/>
          <w:bCs/>
        </w:rPr>
      </w:pPr>
    </w:p>
    <w:p w14:paraId="0E34D07D" w14:textId="77777777" w:rsid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Reducing the health risks caused by exposure to mercury and e-waste is high priority for Sub-Saharan countries</w:t>
      </w:r>
      <w:r w:rsidRPr="0065228D">
        <w:rPr>
          <w:rFonts w:cstheme="minorHAnsi"/>
          <w:bCs/>
        </w:rPr>
        <w:t xml:space="preserve">. The proposed project responds to this priority in </w:t>
      </w:r>
      <w:r w:rsidRPr="0065228D">
        <w:rPr>
          <w:rFonts w:cstheme="minorHAnsi"/>
          <w:b/>
          <w:bCs/>
        </w:rPr>
        <w:t>Ghana</w:t>
      </w:r>
      <w:r w:rsidRPr="0065228D">
        <w:rPr>
          <w:rFonts w:cstheme="minorHAnsi"/>
          <w:bCs/>
        </w:rPr>
        <w:t xml:space="preserve">, </w:t>
      </w:r>
      <w:r w:rsidRPr="0065228D">
        <w:rPr>
          <w:rFonts w:cstheme="minorHAnsi"/>
          <w:b/>
          <w:bCs/>
        </w:rPr>
        <w:t>Kenya</w:t>
      </w:r>
      <w:r w:rsidRPr="0065228D">
        <w:rPr>
          <w:rFonts w:cstheme="minorHAnsi"/>
          <w:bCs/>
        </w:rPr>
        <w:t xml:space="preserve">, </w:t>
      </w:r>
      <w:r w:rsidRPr="0065228D">
        <w:rPr>
          <w:rFonts w:cstheme="minorHAnsi"/>
          <w:b/>
          <w:bCs/>
        </w:rPr>
        <w:t>Senegal</w:t>
      </w:r>
      <w:r w:rsidRPr="0065228D">
        <w:rPr>
          <w:rFonts w:cstheme="minorHAnsi"/>
          <w:bCs/>
        </w:rPr>
        <w:t xml:space="preserve">, </w:t>
      </w:r>
      <w:r w:rsidRPr="0065228D">
        <w:rPr>
          <w:rFonts w:cstheme="minorHAnsi"/>
          <w:b/>
          <w:bCs/>
        </w:rPr>
        <w:t>Tanzania</w:t>
      </w:r>
      <w:r w:rsidRPr="0065228D">
        <w:rPr>
          <w:rFonts w:cstheme="minorHAnsi"/>
          <w:bCs/>
        </w:rPr>
        <w:t xml:space="preserve"> and </w:t>
      </w:r>
      <w:r w:rsidRPr="0065228D">
        <w:rPr>
          <w:rFonts w:cstheme="minorHAnsi"/>
          <w:b/>
          <w:bCs/>
        </w:rPr>
        <w:t>Zambia</w:t>
      </w:r>
      <w:r w:rsidRPr="0065228D">
        <w:rPr>
          <w:rFonts w:cstheme="minorHAnsi"/>
          <w:bCs/>
        </w:rPr>
        <w:t xml:space="preserve">. The choice of countries was based on client demand and ownership, strength of baseline activities, and National Implementation Plan (NIP) readiness. The next phase will consider scaling up the project’s activities to additional countries as they meet readiness requirements. Countries in the pipeline are Burkina Faso, Mauritania, Malawi, Mali, Niger and for ASGM, and Benin and Togo for e-waste. </w:t>
      </w:r>
    </w:p>
    <w:p w14:paraId="4515FF58" w14:textId="77777777" w:rsidR="0065228D" w:rsidRPr="0065228D" w:rsidRDefault="0065228D" w:rsidP="0065228D">
      <w:pPr>
        <w:pStyle w:val="ListParagraph"/>
        <w:rPr>
          <w:rFonts w:cstheme="minorHAnsi"/>
          <w:b/>
          <w:bCs/>
        </w:rPr>
      </w:pPr>
    </w:p>
    <w:p w14:paraId="2E5D1D31" w14:textId="6B8CA8CE" w:rsidR="0016455E" w:rsidRPr="0065228D" w:rsidRDefault="0016455E" w:rsidP="0065228D">
      <w:pPr>
        <w:pStyle w:val="ListParagraph"/>
        <w:widowControl w:val="0"/>
        <w:numPr>
          <w:ilvl w:val="0"/>
          <w:numId w:val="1"/>
        </w:numPr>
        <w:autoSpaceDE w:val="0"/>
        <w:autoSpaceDN w:val="0"/>
        <w:adjustRightInd w:val="0"/>
        <w:spacing w:after="0" w:line="240" w:lineRule="auto"/>
        <w:jc w:val="both"/>
        <w:rPr>
          <w:rFonts w:cstheme="minorHAnsi"/>
          <w:bCs/>
        </w:rPr>
      </w:pPr>
      <w:r w:rsidRPr="0065228D">
        <w:rPr>
          <w:rFonts w:cstheme="minorHAnsi"/>
          <w:b/>
          <w:bCs/>
        </w:rPr>
        <w:t>The transboundary nature of mercury and UPOPs emissions, and the regional opportunities for solutions call for a regional project approach.</w:t>
      </w:r>
      <w:r w:rsidRPr="0065228D">
        <w:rPr>
          <w:rFonts w:cstheme="minorHAnsi"/>
          <w:bCs/>
        </w:rPr>
        <w:t xml:space="preserve"> The World Bank responded to requests from interested countries to leverage its convening power at the highest levels of national governments to help accelerate action toward addressing commitments under the relevant conventions. The preparatory studies carried </w:t>
      </w:r>
      <w:r w:rsidRPr="0065228D">
        <w:rPr>
          <w:rFonts w:cstheme="minorHAnsi"/>
          <w:bCs/>
        </w:rPr>
        <w:lastRenderedPageBreak/>
        <w:t>out through the GEF-funded MSP</w:t>
      </w:r>
      <w:r>
        <w:rPr>
          <w:vertAlign w:val="superscript"/>
        </w:rPr>
        <w:footnoteReference w:id="13"/>
      </w:r>
      <w:r w:rsidRPr="0065228D">
        <w:rPr>
          <w:rFonts w:cstheme="minorHAnsi"/>
          <w:bCs/>
        </w:rPr>
        <w:t xml:space="preserve"> and under the World Bank’s Pollution Management and Environmental Health (PMEH) Program emphasized the need for a regional approach to address these issues. The studies on mercury and e-waste trade revealed that there is a major illegal trade across African countries. Unless there are regionally harmonized policies on mercury and e-waste trade and their respective uses, country-level interventions may not have the desired outcomes. The project will leverage existing regional entities, including the Regional Economic Communities (REC) such as ECOWAS, WAEMU, COMESA, and SADC to support regional harmonization, thereby strengthening national and regional systems to enforce regulations and manage illegal trade flows. In addition, it will work closely with local communities and community-based organizations, who will benefit from opportunities for income generation and green jobs.</w:t>
      </w:r>
    </w:p>
    <w:bookmarkEnd w:id="3"/>
    <w:p w14:paraId="45FC0FAE" w14:textId="77777777" w:rsidR="00F16844" w:rsidRPr="00F64CCA" w:rsidRDefault="00F16844" w:rsidP="00F16844">
      <w:pPr>
        <w:pStyle w:val="ListParagraph"/>
        <w:widowControl w:val="0"/>
        <w:autoSpaceDE w:val="0"/>
        <w:autoSpaceDN w:val="0"/>
        <w:adjustRightInd w:val="0"/>
        <w:spacing w:after="0" w:line="240" w:lineRule="auto"/>
        <w:ind w:left="3"/>
        <w:jc w:val="both"/>
        <w:rPr>
          <w:rFonts w:cstheme="minorHAnsi"/>
        </w:rPr>
      </w:pPr>
    </w:p>
    <w:tbl>
      <w:tblPr>
        <w:tblStyle w:val="TableGrid"/>
        <w:tblW w:w="1071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710"/>
      </w:tblGrid>
      <w:tr w:rsidR="00B649D6" w14:paraId="79BD8B81" w14:textId="77777777" w:rsidTr="00B70354">
        <w:trPr>
          <w:trHeight w:val="80"/>
        </w:trPr>
        <w:tc>
          <w:tcPr>
            <w:tcW w:w="10710" w:type="dxa"/>
          </w:tcPr>
          <w:p w14:paraId="3F8F77B8" w14:textId="77777777" w:rsidR="008B52DA" w:rsidRDefault="000603E8" w:rsidP="00B70354">
            <w:pPr>
              <w:pStyle w:val="Heading2"/>
              <w:keepLines w:val="0"/>
              <w:jc w:val="both"/>
              <w:outlineLvl w:val="1"/>
              <w:rPr>
                <w:rFonts w:asciiTheme="minorHAnsi" w:hAnsiTheme="minorHAnsi"/>
                <w:color w:val="172D5F"/>
                <w:sz w:val="22"/>
                <w:szCs w:val="22"/>
              </w:rPr>
            </w:pPr>
            <w:bookmarkStart w:id="7" w:name="_Toc256000075"/>
            <w:bookmarkStart w:id="8" w:name="_Toc256000036"/>
            <w:bookmarkStart w:id="9" w:name="_Toc256000003"/>
            <w:bookmarkStart w:id="10" w:name="_Toc433982407"/>
            <w:bookmarkStart w:id="11" w:name="_Toc522757632"/>
            <w:bookmarkStart w:id="12" w:name="_Toc26892956"/>
            <w:bookmarkStart w:id="13" w:name="_Toc26897837"/>
            <w:bookmarkStart w:id="14" w:name="_Toc27073079"/>
            <w:r w:rsidRPr="003F68ED">
              <w:rPr>
                <w:rFonts w:asciiTheme="minorHAnsi" w:hAnsiTheme="minorHAnsi"/>
                <w:bCs/>
                <w:color w:val="172D5F"/>
                <w:sz w:val="22"/>
                <w:szCs w:val="22"/>
              </w:rPr>
              <w:t>B.</w:t>
            </w:r>
            <w:r w:rsidRPr="003F68ED">
              <w:rPr>
                <w:rFonts w:asciiTheme="minorHAnsi" w:hAnsiTheme="minorHAnsi"/>
                <w:color w:val="172D5F"/>
                <w:sz w:val="22"/>
                <w:szCs w:val="22"/>
              </w:rPr>
              <w:t xml:space="preserve"> Sectoral and Institutional Context</w:t>
            </w:r>
            <w:bookmarkEnd w:id="7"/>
            <w:bookmarkEnd w:id="8"/>
            <w:bookmarkEnd w:id="9"/>
            <w:bookmarkEnd w:id="10"/>
            <w:bookmarkEnd w:id="11"/>
            <w:bookmarkEnd w:id="12"/>
            <w:bookmarkEnd w:id="13"/>
            <w:bookmarkEnd w:id="14"/>
          </w:p>
          <w:p w14:paraId="71F25BED" w14:textId="1898F8DA" w:rsidR="008002D2" w:rsidRPr="008002D2" w:rsidRDefault="008002D2" w:rsidP="008002D2"/>
        </w:tc>
      </w:tr>
    </w:tbl>
    <w:p w14:paraId="5CB6003C" w14:textId="02EF7B68" w:rsidR="00830141" w:rsidRDefault="003E3306" w:rsidP="00830141">
      <w:pPr>
        <w:pStyle w:val="ListParagraph"/>
        <w:widowControl w:val="0"/>
        <w:numPr>
          <w:ilvl w:val="0"/>
          <w:numId w:val="1"/>
        </w:numPr>
        <w:autoSpaceDE w:val="0"/>
        <w:autoSpaceDN w:val="0"/>
        <w:adjustRightInd w:val="0"/>
        <w:spacing w:after="0" w:line="240" w:lineRule="auto"/>
        <w:jc w:val="both"/>
        <w:rPr>
          <w:rFonts w:cstheme="minorHAnsi"/>
        </w:rPr>
      </w:pPr>
      <w:r w:rsidRPr="00830141">
        <w:rPr>
          <w:rFonts w:cstheme="minorHAnsi"/>
          <w:b/>
          <w:bCs/>
        </w:rPr>
        <w:t xml:space="preserve">Mercury use in the ASGM sector and management of e-waste are among the most critical pollution management issues in Sub-Saharan Africa. </w:t>
      </w:r>
      <w:r w:rsidRPr="00830141">
        <w:rPr>
          <w:rFonts w:cstheme="minorHAnsi"/>
          <w:u w:val="single"/>
        </w:rPr>
        <w:t>Mercury</w:t>
      </w:r>
      <w:r w:rsidRPr="00830141">
        <w:rPr>
          <w:rFonts w:cstheme="minorHAnsi"/>
        </w:rPr>
        <w:t xml:space="preserve"> is used as an amalgamation agent in the ASGM operations. The informal, illegal, and unregulated nature of mercury use in such operations creates a legacy of severe adverse and irreversible environmental and health damage. Mercury contamination could have serious economic consequences to the lucrative local and regional fisheries, due to the potential health risks associated with its bio-accumulation in the food chains</w:t>
      </w:r>
      <w:r>
        <w:rPr>
          <w:rStyle w:val="FootnoteReference"/>
          <w:rFonts w:cstheme="minorHAnsi"/>
          <w:noProof/>
        </w:rPr>
        <w:footnoteReference w:id="14"/>
      </w:r>
      <w:r w:rsidRPr="00830141">
        <w:rPr>
          <w:rFonts w:eastAsia="SimSun" w:cstheme="minorHAnsi"/>
        </w:rPr>
        <w:t xml:space="preserve">. In addition, </w:t>
      </w:r>
      <w:r w:rsidRPr="00830141">
        <w:rPr>
          <w:rFonts w:cstheme="minorHAnsi"/>
        </w:rPr>
        <w:t xml:space="preserve">over the past 20 years, the ICT market has grown exponentially and is estimated to generate the fastest growing waste stream in the world, at 20-50 million tons per year. </w:t>
      </w:r>
      <w:r w:rsidRPr="00830141">
        <w:rPr>
          <w:rFonts w:cstheme="minorHAnsi"/>
          <w:u w:val="single"/>
        </w:rPr>
        <w:t>E-waste</w:t>
      </w:r>
      <w:r w:rsidRPr="00830141">
        <w:rPr>
          <w:rFonts w:cstheme="minorHAnsi"/>
        </w:rPr>
        <w:t xml:space="preserve"> is shipped, often illegally, to developing countries for recycling. </w:t>
      </w:r>
      <w:r w:rsidRPr="00830141">
        <w:rPr>
          <w:rFonts w:cstheme="minorHAnsi"/>
          <w:bCs/>
        </w:rPr>
        <w:t>It is a valuable commodity with more than 92 percent recoverable and reusable materials ranging from precious metals (</w:t>
      </w:r>
      <w:proofErr w:type="spellStart"/>
      <w:r w:rsidRPr="00830141">
        <w:rPr>
          <w:rFonts w:cstheme="minorHAnsi"/>
          <w:bCs/>
        </w:rPr>
        <w:t>ie</w:t>
      </w:r>
      <w:proofErr w:type="spellEnd"/>
      <w:r w:rsidRPr="00830141">
        <w:rPr>
          <w:rFonts w:cstheme="minorHAnsi"/>
          <w:bCs/>
        </w:rPr>
        <w:t>. gold, silver, copper, platinum, and palladium) to recyclable metals and plastics, with a potential value of € 55 billion</w:t>
      </w:r>
      <w:r>
        <w:rPr>
          <w:rStyle w:val="FootnoteReference"/>
          <w:rFonts w:cstheme="minorHAnsi"/>
          <w:bCs/>
        </w:rPr>
        <w:footnoteReference w:id="15"/>
      </w:r>
      <w:r w:rsidRPr="00830141">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830141">
        <w:rPr>
          <w:rFonts w:cstheme="minorHAnsi"/>
        </w:rPr>
        <w:t>the quantities of e-waste accumulating in Sub-Saharan countries have been increasing exponentially in recent years. It is critical to address the policy environment for both mercury and e-waste management, improve knowledge on the economic and health impact of pollution, and facilitate access to cleaner technologies in the region.</w:t>
      </w:r>
    </w:p>
    <w:p w14:paraId="385DF616" w14:textId="77777777" w:rsidR="00830141" w:rsidRDefault="00830141" w:rsidP="00830141">
      <w:pPr>
        <w:pStyle w:val="ListParagraph"/>
        <w:widowControl w:val="0"/>
        <w:autoSpaceDE w:val="0"/>
        <w:autoSpaceDN w:val="0"/>
        <w:adjustRightInd w:val="0"/>
        <w:spacing w:after="0" w:line="240" w:lineRule="auto"/>
        <w:ind w:left="3"/>
        <w:jc w:val="both"/>
        <w:rPr>
          <w:rFonts w:cstheme="minorHAnsi"/>
        </w:rPr>
      </w:pPr>
    </w:p>
    <w:p w14:paraId="21BF983D" w14:textId="7714AAB3" w:rsidR="00CE4F92" w:rsidRPr="00CE4F92" w:rsidRDefault="003E3306" w:rsidP="00830141">
      <w:pPr>
        <w:pStyle w:val="ListParagraph"/>
        <w:widowControl w:val="0"/>
        <w:numPr>
          <w:ilvl w:val="0"/>
          <w:numId w:val="1"/>
        </w:numPr>
        <w:autoSpaceDE w:val="0"/>
        <w:autoSpaceDN w:val="0"/>
        <w:adjustRightInd w:val="0"/>
        <w:spacing w:after="0" w:line="240" w:lineRule="auto"/>
        <w:jc w:val="both"/>
        <w:rPr>
          <w:rFonts w:cstheme="minorHAnsi"/>
        </w:rPr>
      </w:pPr>
      <w:r w:rsidRPr="00830141">
        <w:rPr>
          <w:rFonts w:cstheme="minorHAnsi"/>
          <w:b/>
          <w:bCs/>
        </w:rPr>
        <w:t xml:space="preserve">The institutional and policy environment dealing with mercury and e-waste is weak at the national level. </w:t>
      </w:r>
      <w:r w:rsidRPr="00830141">
        <w:rPr>
          <w:rFonts w:cstheme="minorHAnsi"/>
        </w:rPr>
        <w:t>Institutions</w:t>
      </w:r>
      <w:r w:rsidRPr="00830141">
        <w:rPr>
          <w:rFonts w:cstheme="minorHAnsi"/>
          <w:bCs/>
        </w:rPr>
        <w:t xml:space="preserve"> in Sub-Saharan Africa lack effective regulations and enforcement, users lack adequate management strategies and technologies, and the public has limited information on environmental-health risks. </w:t>
      </w:r>
      <w:r w:rsidRPr="00830141">
        <w:rPr>
          <w:rFonts w:cstheme="minorHAnsi"/>
          <w:color w:val="000000" w:themeColor="text1"/>
        </w:rPr>
        <w:t>Except for a</w:t>
      </w:r>
      <w:r w:rsidRPr="00830141">
        <w:rPr>
          <w:rFonts w:cstheme="minorHAnsi"/>
        </w:rPr>
        <w:t xml:space="preserve"> few countries, like Ghana, there are no policies in place to manage mercury and e-waste related pollution. </w:t>
      </w:r>
      <w:r w:rsidRPr="00830141">
        <w:rPr>
          <w:rFonts w:cstheme="minorHAnsi"/>
          <w:bCs/>
        </w:rPr>
        <w:t>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w:t>
      </w:r>
    </w:p>
    <w:p w14:paraId="19DBA4FF" w14:textId="77777777" w:rsidR="00CE4F92" w:rsidRPr="00CE4F92" w:rsidRDefault="00CE4F92" w:rsidP="00CE4F92">
      <w:pPr>
        <w:pStyle w:val="ListParagraph"/>
        <w:rPr>
          <w:rFonts w:cstheme="minorHAnsi"/>
        </w:rPr>
      </w:pPr>
    </w:p>
    <w:p w14:paraId="6EE58950" w14:textId="77777777" w:rsidR="00CE4F92" w:rsidRDefault="00CE4F92" w:rsidP="00CE4F92">
      <w:pPr>
        <w:pStyle w:val="ListParagraph"/>
        <w:widowControl w:val="0"/>
        <w:autoSpaceDE w:val="0"/>
        <w:autoSpaceDN w:val="0"/>
        <w:adjustRightInd w:val="0"/>
        <w:spacing w:after="0" w:line="240" w:lineRule="auto"/>
        <w:ind w:left="3"/>
        <w:jc w:val="both"/>
        <w:rPr>
          <w:rFonts w:cstheme="minorHAnsi"/>
        </w:rPr>
      </w:pPr>
    </w:p>
    <w:p w14:paraId="2C4F54BC" w14:textId="771EC8BF" w:rsidR="00CE4F92" w:rsidRP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830141">
        <w:rPr>
          <w:rFonts w:cstheme="minorHAnsi"/>
          <w:b/>
          <w:bCs/>
        </w:rPr>
        <w:t xml:space="preserve">Multiple and fragmented approaches to address specific chemicals have not yielded the expected results. </w:t>
      </w:r>
      <w:r w:rsidRPr="00830141">
        <w:rPr>
          <w:rFonts w:cstheme="minorHAnsi"/>
          <w:bCs/>
        </w:rPr>
        <w:t xml:space="preserve">Many programs have been implemented in the region by various development agencies, funded by GEF and bilateral donors. However, although the coverage of GEF POPs activities is broad, most programs have been site-specific and uncoordinated, generating only minimal improvement of environmental health and pollution impacts. Overall, </w:t>
      </w:r>
      <w:proofErr w:type="gramStart"/>
      <w:r w:rsidRPr="00830141">
        <w:rPr>
          <w:rFonts w:cstheme="minorHAnsi"/>
          <w:bCs/>
        </w:rPr>
        <w:t>past experience</w:t>
      </w:r>
      <w:proofErr w:type="gramEnd"/>
      <w:r w:rsidRPr="00830141">
        <w:rPr>
          <w:rFonts w:cstheme="minorHAnsi"/>
          <w:bCs/>
        </w:rPr>
        <w:t xml:space="preserve"> has shown that isolated policy and regulatory interventions in one country may not necessarily produce significant results, but rather, run the risk of shifting the problem toward other countries with weak regulations and enforcement. </w:t>
      </w:r>
    </w:p>
    <w:p w14:paraId="73083E98" w14:textId="77777777" w:rsidR="00CE4F92" w:rsidRDefault="00CE4F92" w:rsidP="00CE4F92">
      <w:pPr>
        <w:pStyle w:val="ListParagraph"/>
        <w:widowControl w:val="0"/>
        <w:autoSpaceDE w:val="0"/>
        <w:autoSpaceDN w:val="0"/>
        <w:adjustRightInd w:val="0"/>
        <w:spacing w:after="0" w:line="240" w:lineRule="auto"/>
        <w:ind w:left="3"/>
        <w:jc w:val="both"/>
        <w:rPr>
          <w:rFonts w:cstheme="minorHAnsi"/>
        </w:rPr>
      </w:pPr>
    </w:p>
    <w:p w14:paraId="0F1BB9A4" w14:textId="77777777" w:rsid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CE4F92">
        <w:rPr>
          <w:rFonts w:cstheme="minorHAnsi"/>
          <w:b/>
          <w:bCs/>
        </w:rPr>
        <w:t>Effective regulations combined with incentives would help governments deliver on commitments under key international agreements.</w:t>
      </w:r>
      <w:r w:rsidRPr="00CE4F92">
        <w:rPr>
          <w:rFonts w:cstheme="minorHAnsi"/>
          <w:bCs/>
        </w:rPr>
        <w:t xml:space="preserve"> Extensive consultations with African governments and partners indicate that there is a common understanding and demand for a more harmonized approach towards reducing environmental and health risks resulting from mercury and POPs emissions from wastes. Emerging recommendations from analytical studies support a need to harmonize efforts and to understand institutional capacity constraints and their economic, environmental, and social implications at the national and regional levels. Sub-Saharan African countries are at various stages of putting in place relevant policies and environmental legislation to support implementation of their commitments under the international conventions, including multiple initiatives under the framework of</w:t>
      </w:r>
      <w:r w:rsidRPr="00CE4F92">
        <w:rPr>
          <w:rFonts w:cstheme="minorHAnsi"/>
          <w:b/>
          <w:bCs/>
        </w:rPr>
        <w:t xml:space="preserve"> </w:t>
      </w:r>
      <w:r w:rsidRPr="00CE4F92">
        <w:rPr>
          <w:rFonts w:cstheme="minorHAnsi"/>
          <w:bCs/>
        </w:rPr>
        <w:t>Multilateral Environment Conventions, particularly the Minamata, Stockholm, and Basel Conventions.</w:t>
      </w:r>
    </w:p>
    <w:p w14:paraId="11CC66FF" w14:textId="77777777" w:rsidR="00CE4F92" w:rsidRPr="00CE4F92" w:rsidRDefault="00CE4F92" w:rsidP="00CE4F92">
      <w:pPr>
        <w:pStyle w:val="ListParagraph"/>
        <w:rPr>
          <w:rFonts w:cstheme="minorHAnsi"/>
          <w:b/>
          <w:bCs/>
        </w:rPr>
      </w:pPr>
    </w:p>
    <w:p w14:paraId="6D8510F1" w14:textId="77777777" w:rsidR="00CE4F92" w:rsidRP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CE4F92">
        <w:rPr>
          <w:rFonts w:cstheme="minorHAnsi"/>
          <w:b/>
          <w:bCs/>
        </w:rPr>
        <w:t>Reducing the health risks caused by exposure to mercury and e-waste is high priority for Sub-Saharan countries</w:t>
      </w:r>
      <w:r w:rsidRPr="00CE4F92">
        <w:rPr>
          <w:rFonts w:cstheme="minorHAnsi"/>
          <w:bCs/>
        </w:rPr>
        <w:t xml:space="preserve">. The proposed project responds to this priority in </w:t>
      </w:r>
      <w:r w:rsidRPr="00CE4F92">
        <w:rPr>
          <w:rFonts w:cstheme="minorHAnsi"/>
          <w:b/>
          <w:bCs/>
        </w:rPr>
        <w:t>Ghana</w:t>
      </w:r>
      <w:r w:rsidRPr="00CE4F92">
        <w:rPr>
          <w:rFonts w:cstheme="minorHAnsi"/>
          <w:bCs/>
        </w:rPr>
        <w:t xml:space="preserve">, </w:t>
      </w:r>
      <w:r w:rsidRPr="00CE4F92">
        <w:rPr>
          <w:rFonts w:cstheme="minorHAnsi"/>
          <w:b/>
          <w:bCs/>
        </w:rPr>
        <w:t>Kenya</w:t>
      </w:r>
      <w:r w:rsidRPr="00CE4F92">
        <w:rPr>
          <w:rFonts w:cstheme="minorHAnsi"/>
          <w:bCs/>
        </w:rPr>
        <w:t xml:space="preserve">, </w:t>
      </w:r>
      <w:r w:rsidRPr="00CE4F92">
        <w:rPr>
          <w:rFonts w:cstheme="minorHAnsi"/>
          <w:b/>
          <w:bCs/>
        </w:rPr>
        <w:t>Senegal</w:t>
      </w:r>
      <w:r w:rsidRPr="00CE4F92">
        <w:rPr>
          <w:rFonts w:cstheme="minorHAnsi"/>
          <w:bCs/>
        </w:rPr>
        <w:t xml:space="preserve">, </w:t>
      </w:r>
      <w:r w:rsidRPr="00CE4F92">
        <w:rPr>
          <w:rFonts w:cstheme="minorHAnsi"/>
          <w:b/>
          <w:bCs/>
        </w:rPr>
        <w:t>Tanzania</w:t>
      </w:r>
      <w:r w:rsidRPr="00CE4F92">
        <w:rPr>
          <w:rFonts w:cstheme="minorHAnsi"/>
          <w:bCs/>
        </w:rPr>
        <w:t xml:space="preserve"> and </w:t>
      </w:r>
      <w:r w:rsidRPr="00CE4F92">
        <w:rPr>
          <w:rFonts w:cstheme="minorHAnsi"/>
          <w:b/>
          <w:bCs/>
        </w:rPr>
        <w:t>Zambia</w:t>
      </w:r>
      <w:r w:rsidRPr="00CE4F92">
        <w:rPr>
          <w:rFonts w:cstheme="minorHAnsi"/>
          <w:bCs/>
        </w:rPr>
        <w:t xml:space="preserve">. The choice of countries was based on client demand and ownership, strength of baseline activities, and National Implementation Plan (NIP) readiness. The next phase will consider scaling up the project’s activities to additional countries as they meet readiness requirements. Countries in the pipeline are Burkina Faso, Mauritania, Malawi, Mali, Niger and for ASGM, and Benin and Togo for e-waste. </w:t>
      </w:r>
    </w:p>
    <w:p w14:paraId="74D39873" w14:textId="77777777" w:rsidR="00CE4F92" w:rsidRPr="00CE4F92" w:rsidRDefault="00CE4F92" w:rsidP="00CE4F92">
      <w:pPr>
        <w:pStyle w:val="ListParagraph"/>
        <w:rPr>
          <w:rFonts w:cstheme="minorHAnsi"/>
          <w:b/>
          <w:bCs/>
        </w:rPr>
      </w:pPr>
    </w:p>
    <w:p w14:paraId="259A2EFF" w14:textId="1CF13B85" w:rsidR="003E3306" w:rsidRPr="00CE4F92" w:rsidRDefault="003E3306" w:rsidP="00CE4F92">
      <w:pPr>
        <w:pStyle w:val="ListParagraph"/>
        <w:widowControl w:val="0"/>
        <w:numPr>
          <w:ilvl w:val="0"/>
          <w:numId w:val="1"/>
        </w:numPr>
        <w:autoSpaceDE w:val="0"/>
        <w:autoSpaceDN w:val="0"/>
        <w:adjustRightInd w:val="0"/>
        <w:spacing w:after="0" w:line="240" w:lineRule="auto"/>
        <w:jc w:val="both"/>
        <w:rPr>
          <w:rFonts w:cstheme="minorHAnsi"/>
        </w:rPr>
      </w:pPr>
      <w:r w:rsidRPr="00CE4F92">
        <w:rPr>
          <w:rFonts w:cstheme="minorHAnsi"/>
          <w:b/>
          <w:bCs/>
        </w:rPr>
        <w:t>The transboundary nature of mercury and UPOPs emissions, and the regional opportunities for solutions call for a regional project approach.</w:t>
      </w:r>
      <w:r w:rsidRPr="00CE4F92">
        <w:rPr>
          <w:rFonts w:cstheme="minorHAnsi"/>
          <w:bCs/>
        </w:rPr>
        <w:t xml:space="preserve"> The World Bank responded to requests from interested countries to leverage its convening power at the highest levels of national governments to help accelerate action toward addressing commitments under the relevant conventions. The preparatory studies carried out through the GEF-funded MSP</w:t>
      </w:r>
      <w:r>
        <w:rPr>
          <w:vertAlign w:val="superscript"/>
        </w:rPr>
        <w:footnoteReference w:id="16"/>
      </w:r>
      <w:r w:rsidRPr="00CE4F92">
        <w:rPr>
          <w:rFonts w:cstheme="minorHAnsi"/>
          <w:bCs/>
        </w:rPr>
        <w:t xml:space="preserve"> and under the World Bank’s Pollution Management and Environmental Health (PMEH) Program emphasized the need for a regional approach to address these issues. The studies on mercury and e-waste trade revealed that there is a major illegal trade across African countries. Unless there are regionally harmonized policies on mercury and e-waste trade and their respective uses, country-level interventions may not have the desired outcomes. The project will leverage existing regional entities, including the Regional Economic Communities (REC) such as ECOWAS, WAEMU, COMESA, and SADC to support regional harmonization, thereby strengthening national and regional systems to enforce regulations and manage illegal trade flows. In addition, it will work closely with local communities and community-based organizations, who will benefit from opportunities for income generation and green jobs.</w:t>
      </w:r>
    </w:p>
    <w:p w14:paraId="2E12E083" w14:textId="77777777" w:rsidR="00667B45" w:rsidRPr="002230F4" w:rsidRDefault="00667B45"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B649D6" w14:paraId="052153D8" w14:textId="77777777" w:rsidTr="002230F4">
        <w:tc>
          <w:tcPr>
            <w:tcW w:w="10800" w:type="dxa"/>
          </w:tcPr>
          <w:p w14:paraId="253BE087" w14:textId="77777777" w:rsidR="002230F4" w:rsidRPr="002230F4" w:rsidRDefault="000603E8"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lastRenderedPageBreak/>
              <w:t>C. Proposed Development Objective(s)</w:t>
            </w:r>
            <w:r w:rsidRPr="002230F4">
              <w:rPr>
                <w:rFonts w:ascii="Calibri" w:eastAsia="Times New Roman" w:hAnsi="Calibri" w:cs="Arial"/>
                <w:b/>
                <w:color w:val="172D5F"/>
                <w:sz w:val="21"/>
                <w:szCs w:val="21"/>
              </w:rPr>
              <w:t xml:space="preserve"> </w:t>
            </w:r>
          </w:p>
        </w:tc>
      </w:tr>
    </w:tbl>
    <w:p w14:paraId="6A9A2CCE" w14:textId="77777777" w:rsidR="00B35D7F" w:rsidRDefault="00B35D7F" w:rsidP="002230F4">
      <w:pPr>
        <w:spacing w:after="0" w:line="240" w:lineRule="auto"/>
        <w:ind w:left="-691" w:right="-691"/>
      </w:pPr>
    </w:p>
    <w:p w14:paraId="37B5C28A" w14:textId="77777777" w:rsidR="00846914" w:rsidRPr="00846914" w:rsidRDefault="000603E8" w:rsidP="00846914">
      <w:pPr>
        <w:spacing w:after="0" w:line="240" w:lineRule="auto"/>
        <w:ind w:left="-691" w:right="-691"/>
        <w:rPr>
          <w:rFonts w:eastAsiaTheme="minorEastAsia" w:cs="Arial"/>
          <w:color w:val="7F7F7F" w:themeColor="text1" w:themeTint="80"/>
        </w:rPr>
      </w:pPr>
      <w:r w:rsidRPr="00846914">
        <w:rPr>
          <w:rFonts w:eastAsiaTheme="minorEastAsia" w:cs="Arial"/>
          <w:noProof/>
          <w:color w:val="7F7F7F" w:themeColor="text1" w:themeTint="80"/>
        </w:rPr>
        <w:t>Development Objective(s) (From PAD)</w:t>
      </w:r>
      <w:r w:rsidRPr="00846914">
        <w:rPr>
          <w:rFonts w:eastAsiaTheme="minorEastAsia" w:cs="Arial"/>
          <w:color w:val="7F7F7F" w:themeColor="text1" w:themeTint="80"/>
        </w:rPr>
        <w:t xml:space="preserve"> </w:t>
      </w:r>
    </w:p>
    <w:p w14:paraId="18D8A77B" w14:textId="79F91D32" w:rsidR="008D2AF0" w:rsidRDefault="002050BE" w:rsidP="002230F4">
      <w:pPr>
        <w:spacing w:after="0" w:line="240" w:lineRule="auto"/>
        <w:ind w:left="-691" w:right="-691"/>
        <w:rPr>
          <w:rFonts w:cstheme="minorHAnsi"/>
          <w:bCs/>
        </w:rPr>
      </w:pPr>
      <w:r>
        <w:rPr>
          <w:rFonts w:cstheme="minorHAnsi"/>
          <w:bCs/>
        </w:rPr>
        <w:t>T</w:t>
      </w:r>
      <w:r w:rsidR="007A71FB" w:rsidRPr="00EB060E">
        <w:rPr>
          <w:rFonts w:cstheme="minorHAnsi"/>
          <w:bCs/>
        </w:rPr>
        <w:t xml:space="preserve">o reduce exposure to mercury and </w:t>
      </w:r>
      <w:proofErr w:type="spellStart"/>
      <w:r w:rsidR="007A71FB" w:rsidRPr="00EB060E">
        <w:rPr>
          <w:rFonts w:cstheme="minorHAnsi"/>
          <w:bCs/>
        </w:rPr>
        <w:t>uPOPs</w:t>
      </w:r>
      <w:proofErr w:type="spellEnd"/>
      <w:r w:rsidR="007A71FB" w:rsidRPr="00EB060E">
        <w:rPr>
          <w:rFonts w:cstheme="minorHAnsi"/>
          <w:bCs/>
        </w:rPr>
        <w:t xml:space="preserve"> pollution </w:t>
      </w:r>
      <w:r w:rsidR="007A71FB">
        <w:rPr>
          <w:rFonts w:cstheme="minorHAnsi"/>
          <w:bCs/>
        </w:rPr>
        <w:t xml:space="preserve">in pilot sites </w:t>
      </w:r>
      <w:r w:rsidR="007A71FB" w:rsidRPr="00EB060E">
        <w:rPr>
          <w:rFonts w:cstheme="minorHAnsi"/>
          <w:bCs/>
        </w:rPr>
        <w:t>and strengthen the institutional capacity to manage and regulate mercury use in artisanal small-scale gold mining (ASGM) and e-waste in selected countries in Africa</w:t>
      </w:r>
      <w:r w:rsidR="0016455E">
        <w:rPr>
          <w:rFonts w:cstheme="minorHAnsi"/>
          <w:bCs/>
        </w:rPr>
        <w:t>.</w:t>
      </w:r>
    </w:p>
    <w:p w14:paraId="312D5ADA" w14:textId="77777777" w:rsidR="005E1A4E" w:rsidRPr="002230F4" w:rsidRDefault="005E1A4E" w:rsidP="002230F4">
      <w:pPr>
        <w:spacing w:after="0" w:line="240" w:lineRule="auto"/>
        <w:ind w:left="-691" w:right="-691"/>
      </w:pPr>
    </w:p>
    <w:p w14:paraId="786B0964" w14:textId="14676CA5" w:rsidR="002050BE" w:rsidRPr="00AC2792" w:rsidRDefault="002050BE" w:rsidP="002E38A2">
      <w:pPr>
        <w:pStyle w:val="ListParagraph"/>
        <w:widowControl w:val="0"/>
        <w:numPr>
          <w:ilvl w:val="0"/>
          <w:numId w:val="3"/>
        </w:numPr>
        <w:autoSpaceDE w:val="0"/>
        <w:autoSpaceDN w:val="0"/>
        <w:adjustRightInd w:val="0"/>
        <w:spacing w:after="0" w:line="240" w:lineRule="auto"/>
        <w:ind w:left="0" w:hanging="270"/>
        <w:jc w:val="both"/>
        <w:rPr>
          <w:rFonts w:cstheme="minorHAnsi"/>
          <w:bCs/>
        </w:rPr>
      </w:pPr>
      <w:bookmarkStart w:id="15" w:name="_Hlk32240595"/>
      <w:r w:rsidRPr="002050BE">
        <w:t>The following PDO indicators</w:t>
      </w:r>
      <w:r w:rsidRPr="00AC2792">
        <w:rPr>
          <w:rFonts w:cstheme="minorHAnsi"/>
          <w:noProof/>
        </w:rPr>
        <w:t xml:space="preserve"> are proposed, disaggregated by country</w:t>
      </w:r>
      <w:r w:rsidR="00FB5891">
        <w:rPr>
          <w:rFonts w:cstheme="minorHAnsi"/>
          <w:noProof/>
        </w:rPr>
        <w:t xml:space="preserve"> (see Annex 3)</w:t>
      </w:r>
      <w:r w:rsidRPr="00AC2792">
        <w:rPr>
          <w:rFonts w:cstheme="minorHAnsi"/>
          <w:noProof/>
        </w:rPr>
        <w:t>:</w:t>
      </w:r>
    </w:p>
    <w:p w14:paraId="3D543924"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Knowledge products on mercury and uPOPs management designed and disseminated (Number); </w:t>
      </w:r>
    </w:p>
    <w:p w14:paraId="6320DEA3"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Policy interventions on mercury and </w:t>
      </w:r>
      <w:r w:rsidRPr="00EB060E">
        <w:rPr>
          <w:rFonts w:cstheme="minorHAnsi"/>
        </w:rPr>
        <w:t xml:space="preserve">e-waste management (including </w:t>
      </w:r>
      <w:proofErr w:type="spellStart"/>
      <w:r w:rsidRPr="00EB060E">
        <w:rPr>
          <w:rFonts w:cstheme="minorHAnsi"/>
        </w:rPr>
        <w:t>uPOPs</w:t>
      </w:r>
      <w:proofErr w:type="spellEnd"/>
      <w:r w:rsidRPr="00EB060E">
        <w:rPr>
          <w:rFonts w:cstheme="minorHAnsi"/>
        </w:rPr>
        <w:t xml:space="preserve"> emissions)</w:t>
      </w:r>
      <w:r>
        <w:rPr>
          <w:rFonts w:cstheme="minorHAnsi"/>
        </w:rPr>
        <w:t xml:space="preserve"> </w:t>
      </w:r>
      <w:r w:rsidRPr="007E502D">
        <w:rPr>
          <w:rFonts w:cstheme="minorHAnsi"/>
        </w:rPr>
        <w:t xml:space="preserve">designed and </w:t>
      </w:r>
      <w:r>
        <w:rPr>
          <w:rFonts w:cstheme="minorHAnsi"/>
        </w:rPr>
        <w:t>consulted</w:t>
      </w:r>
      <w:r w:rsidRPr="007E502D">
        <w:rPr>
          <w:rFonts w:cstheme="minorHAnsi"/>
        </w:rPr>
        <w:t xml:space="preserve"> (Number)</w:t>
      </w:r>
      <w:r w:rsidRPr="00EB060E">
        <w:rPr>
          <w:rFonts w:cstheme="minorHAnsi"/>
          <w:noProof/>
        </w:rPr>
        <w:t xml:space="preserve">; </w:t>
      </w:r>
    </w:p>
    <w:p w14:paraId="7F09F4C5"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204CE1">
        <w:rPr>
          <w:rFonts w:cstheme="minorHAnsi"/>
        </w:rPr>
        <w:t>Piloting of best environmental practices and cleaner technologies to help countries meet their Stockholm and Minamata Convention obligations completed and evaluated</w:t>
      </w:r>
      <w:r w:rsidRPr="00EB060E">
        <w:rPr>
          <w:rFonts w:cstheme="minorHAnsi"/>
        </w:rPr>
        <w:t xml:space="preserve"> (Number); </w:t>
      </w:r>
    </w:p>
    <w:p w14:paraId="3C001670" w14:textId="77777777" w:rsidR="002050B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D7362C">
        <w:rPr>
          <w:rFonts w:cstheme="minorHAnsi"/>
          <w:bCs/>
        </w:rPr>
        <w:t>Mercury use in ASGM reduced at pilot sites</w:t>
      </w:r>
      <w:r>
        <w:rPr>
          <w:rFonts w:cstheme="minorHAnsi"/>
          <w:bCs/>
        </w:rPr>
        <w:t xml:space="preserve"> (Percentage);</w:t>
      </w:r>
    </w:p>
    <w:p w14:paraId="6A699DAD" w14:textId="77777777" w:rsidR="002050BE" w:rsidRPr="00EB060E"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D7362C">
        <w:rPr>
          <w:rFonts w:cstheme="minorHAnsi"/>
          <w:bCs/>
        </w:rPr>
        <w:t xml:space="preserve">Exposure to </w:t>
      </w:r>
      <w:proofErr w:type="spellStart"/>
      <w:r w:rsidRPr="00D7362C">
        <w:rPr>
          <w:rFonts w:cstheme="minorHAnsi"/>
          <w:bCs/>
        </w:rPr>
        <w:t>uPOPs</w:t>
      </w:r>
      <w:proofErr w:type="spellEnd"/>
      <w:r w:rsidRPr="00D7362C">
        <w:rPr>
          <w:rFonts w:cstheme="minorHAnsi"/>
          <w:bCs/>
        </w:rPr>
        <w:t xml:space="preserve"> pollution from open burning of hazardous waste including e-waste reduced at pilot sites</w:t>
      </w:r>
      <w:r>
        <w:rPr>
          <w:rFonts w:cstheme="minorHAnsi"/>
          <w:bCs/>
        </w:rPr>
        <w:t xml:space="preserve"> (Percentage);</w:t>
      </w:r>
    </w:p>
    <w:p w14:paraId="70D2F1A0" w14:textId="77777777" w:rsidR="002050BE" w:rsidRPr="009E21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Stakeholder outreach events completed (Number)</w:t>
      </w:r>
      <w:r>
        <w:rPr>
          <w:rFonts w:cstheme="minorHAnsi"/>
          <w:noProof/>
        </w:rPr>
        <w:t>.</w:t>
      </w:r>
    </w:p>
    <w:p w14:paraId="678C8A06" w14:textId="77777777" w:rsidR="002050BE" w:rsidRDefault="002050BE" w:rsidP="002050BE">
      <w:pPr>
        <w:jc w:val="both"/>
        <w:rPr>
          <w:rFonts w:cstheme="minorHAnsi"/>
          <w:bCs/>
        </w:rPr>
      </w:pPr>
    </w:p>
    <w:p w14:paraId="1597EE9C" w14:textId="77777777" w:rsidR="002050BE" w:rsidRPr="00726E8C" w:rsidRDefault="002050BE" w:rsidP="002E38A2">
      <w:pPr>
        <w:pStyle w:val="ListParagraph"/>
        <w:widowControl w:val="0"/>
        <w:numPr>
          <w:ilvl w:val="0"/>
          <w:numId w:val="2"/>
        </w:numPr>
        <w:autoSpaceDE w:val="0"/>
        <w:autoSpaceDN w:val="0"/>
        <w:adjustRightInd w:val="0"/>
        <w:spacing w:after="0" w:line="240" w:lineRule="auto"/>
        <w:ind w:left="0" w:hanging="180"/>
        <w:jc w:val="both"/>
        <w:rPr>
          <w:rFonts w:cstheme="minorHAnsi"/>
          <w:bCs/>
        </w:rPr>
      </w:pPr>
      <w:r w:rsidRPr="00726E8C">
        <w:rPr>
          <w:rFonts w:cstheme="minorHAnsi"/>
        </w:rPr>
        <w:t>The following intermediate indicators are proposed, disaggregated by country:</w:t>
      </w:r>
    </w:p>
    <w:p w14:paraId="00A995C4" w14:textId="77777777" w:rsidR="002050BE" w:rsidRPr="00726E8C" w:rsidRDefault="002050BE" w:rsidP="002050BE">
      <w:pPr>
        <w:pStyle w:val="ListParagraph"/>
        <w:ind w:left="0"/>
        <w:jc w:val="both"/>
        <w:rPr>
          <w:rFonts w:cstheme="minorHAnsi"/>
          <w:bCs/>
        </w:rPr>
      </w:pPr>
      <w:r w:rsidRPr="00726E8C">
        <w:rPr>
          <w:rFonts w:cstheme="minorHAnsi"/>
          <w:u w:val="single"/>
        </w:rPr>
        <w:t>Component 1</w:t>
      </w:r>
    </w:p>
    <w:p w14:paraId="04E3316F"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E-waste management and mercury use benchmarked in participating countries (volume/Mt) through the regional platform</w:t>
      </w:r>
      <w:r>
        <w:rPr>
          <w:rFonts w:cstheme="minorHAnsi"/>
        </w:rPr>
        <w:t xml:space="preserve"> (Yes/No)</w:t>
      </w:r>
      <w:r w:rsidRPr="00726E8C">
        <w:rPr>
          <w:rFonts w:cstheme="minorHAnsi"/>
        </w:rPr>
        <w:t xml:space="preserve">; </w:t>
      </w:r>
    </w:p>
    <w:p w14:paraId="1AEC2FC4"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E0A31">
        <w:rPr>
          <w:rFonts w:cstheme="minorHAnsi"/>
        </w:rPr>
        <w:t>Trained inspection officers</w:t>
      </w:r>
      <w:r w:rsidRPr="00726E8C">
        <w:rPr>
          <w:rFonts w:cstheme="minorHAnsi"/>
        </w:rPr>
        <w:t xml:space="preserve"> (Number trained, % of participants women)</w:t>
      </w:r>
      <w:r>
        <w:rPr>
          <w:rFonts w:cstheme="minorHAnsi"/>
        </w:rPr>
        <w:t>;</w:t>
      </w:r>
      <w:r w:rsidRPr="00726E8C">
        <w:rPr>
          <w:rFonts w:cstheme="minorHAnsi"/>
        </w:rPr>
        <w:t xml:space="preserve"> </w:t>
      </w:r>
    </w:p>
    <w:p w14:paraId="71F13944"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Communities involved in planning, implementation and evaluation of demonstration pilots (</w:t>
      </w:r>
      <w:r>
        <w:rPr>
          <w:rFonts w:cstheme="minorHAnsi"/>
        </w:rPr>
        <w:t>Number);</w:t>
      </w:r>
    </w:p>
    <w:p w14:paraId="4E2ED60F" w14:textId="77777777" w:rsidR="002050BE" w:rsidRPr="00726E8C" w:rsidRDefault="002050BE" w:rsidP="002050BE">
      <w:pPr>
        <w:pStyle w:val="ListParagraph"/>
        <w:ind w:left="0"/>
        <w:jc w:val="both"/>
        <w:rPr>
          <w:rFonts w:cstheme="minorHAnsi"/>
          <w:bCs/>
        </w:rPr>
      </w:pPr>
      <w:r w:rsidRPr="00726E8C">
        <w:rPr>
          <w:rFonts w:cstheme="minorHAnsi"/>
          <w:u w:val="single"/>
        </w:rPr>
        <w:t>Component 2</w:t>
      </w:r>
    </w:p>
    <w:p w14:paraId="75D6D257" w14:textId="77777777" w:rsidR="002050BE" w:rsidRPr="007F29E3"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Pr>
          <w:rFonts w:cstheme="minorHAnsi"/>
          <w:bCs/>
        </w:rPr>
        <w:t>Policies and Practices on Mercury use and e-waste management benchmarked in participating countries (Yes/No)</w:t>
      </w:r>
    </w:p>
    <w:p w14:paraId="4D504C17"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Guidelines and checklists for stakeholders and workers </w:t>
      </w:r>
      <w:r>
        <w:rPr>
          <w:rFonts w:cstheme="minorHAnsi"/>
        </w:rPr>
        <w:t>d</w:t>
      </w:r>
      <w:r w:rsidRPr="00726E8C">
        <w:rPr>
          <w:rFonts w:cstheme="minorHAnsi"/>
        </w:rPr>
        <w:t>eveloped (Yes/No)</w:t>
      </w:r>
      <w:r>
        <w:rPr>
          <w:rFonts w:cstheme="minorHAnsi"/>
        </w:rPr>
        <w:t>;</w:t>
      </w:r>
    </w:p>
    <w:p w14:paraId="1C83EB32"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Stakeholder communication strategy </w:t>
      </w:r>
      <w:r>
        <w:rPr>
          <w:rFonts w:cstheme="minorHAnsi"/>
        </w:rPr>
        <w:t>d</w:t>
      </w:r>
      <w:r w:rsidRPr="00726E8C">
        <w:rPr>
          <w:rFonts w:cstheme="minorHAnsi"/>
        </w:rPr>
        <w:t>eveloped (Yes/No</w:t>
      </w:r>
      <w:r>
        <w:rPr>
          <w:rFonts w:cstheme="minorHAnsi"/>
        </w:rPr>
        <w:t>);</w:t>
      </w:r>
    </w:p>
    <w:p w14:paraId="0BE292AB" w14:textId="77777777" w:rsidR="002050BE" w:rsidRPr="00726E8C" w:rsidRDefault="002050BE" w:rsidP="002050BE">
      <w:pPr>
        <w:pStyle w:val="ListParagraph"/>
        <w:ind w:left="0"/>
        <w:jc w:val="both"/>
        <w:rPr>
          <w:rFonts w:cstheme="minorHAnsi"/>
          <w:bCs/>
        </w:rPr>
      </w:pPr>
      <w:r w:rsidRPr="00726E8C">
        <w:rPr>
          <w:rFonts w:cstheme="minorHAnsi"/>
          <w:u w:val="single"/>
        </w:rPr>
        <w:t>Component 3</w:t>
      </w:r>
    </w:p>
    <w:p w14:paraId="0E2151C3"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Training events conducted (Number)</w:t>
      </w:r>
      <w:r>
        <w:rPr>
          <w:rFonts w:cstheme="minorHAnsi"/>
        </w:rPr>
        <w:t>;</w:t>
      </w:r>
    </w:p>
    <w:p w14:paraId="2F4A5CB0" w14:textId="77777777" w:rsidR="002050BE" w:rsidRPr="00726E8C" w:rsidRDefault="002050BE"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Private sector in selected e-waste pilot project sites engaged (Yes/No)</w:t>
      </w:r>
      <w:r>
        <w:rPr>
          <w:rFonts w:cstheme="minorHAnsi"/>
        </w:rPr>
        <w:t>;</w:t>
      </w:r>
      <w:bookmarkEnd w:id="15"/>
    </w:p>
    <w:p w14:paraId="6B5CF939" w14:textId="77777777" w:rsidR="002230F4" w:rsidRDefault="002230F4" w:rsidP="002230F4">
      <w:pPr>
        <w:spacing w:after="0" w:line="240" w:lineRule="auto"/>
        <w:ind w:left="-691" w:right="-691"/>
      </w:pPr>
    </w:p>
    <w:p w14:paraId="68D1F9FD" w14:textId="77777777" w:rsidR="002230F4" w:rsidRDefault="002230F4"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B649D6" w14:paraId="46B38322" w14:textId="77777777" w:rsidTr="007E1A9B">
        <w:tc>
          <w:tcPr>
            <w:tcW w:w="10800" w:type="dxa"/>
          </w:tcPr>
          <w:p w14:paraId="5A704988" w14:textId="77777777" w:rsidR="002230F4" w:rsidRDefault="000603E8" w:rsidP="007E1A9B">
            <w:pPr>
              <w:keepNext/>
              <w:widowControl w:val="0"/>
              <w:autoSpaceDE w:val="0"/>
              <w:autoSpaceDN w:val="0"/>
              <w:adjustRightInd w:val="0"/>
              <w:rPr>
                <w:rFonts w:ascii="Calibri" w:eastAsia="Times New Roman" w:hAnsi="Calibri" w:cs="Arial"/>
                <w:b/>
                <w:color w:val="172D5F"/>
                <w:sz w:val="21"/>
                <w:szCs w:val="21"/>
              </w:rPr>
            </w:pPr>
            <w:r w:rsidRPr="002230F4">
              <w:rPr>
                <w:rFonts w:eastAsia="Times New Roman" w:cs="Arial"/>
                <w:b/>
                <w:color w:val="172D5F"/>
              </w:rPr>
              <w:t>D. Project Description</w:t>
            </w:r>
            <w:r w:rsidRPr="002230F4">
              <w:rPr>
                <w:rFonts w:ascii="Calibri" w:eastAsia="Times New Roman" w:hAnsi="Calibri" w:cs="Arial"/>
                <w:b/>
                <w:color w:val="172D5F"/>
                <w:sz w:val="21"/>
                <w:szCs w:val="21"/>
              </w:rPr>
              <w:t xml:space="preserve"> </w:t>
            </w:r>
          </w:p>
          <w:p w14:paraId="20C1D274" w14:textId="77777777" w:rsidR="00876602" w:rsidRPr="002230F4" w:rsidRDefault="00876602" w:rsidP="007E1A9B">
            <w:pPr>
              <w:keepNext/>
              <w:widowControl w:val="0"/>
              <w:autoSpaceDE w:val="0"/>
              <w:autoSpaceDN w:val="0"/>
              <w:adjustRightInd w:val="0"/>
              <w:rPr>
                <w:rFonts w:ascii="Calibri" w:eastAsia="Times New Roman" w:hAnsi="Calibri" w:cs="Arial"/>
                <w:b/>
                <w:color w:val="172D5F"/>
                <w:sz w:val="21"/>
                <w:szCs w:val="21"/>
              </w:rPr>
            </w:pPr>
          </w:p>
        </w:tc>
      </w:tr>
    </w:tbl>
    <w:sdt>
      <w:sdtPr>
        <w:id w:val="704835479"/>
        <w:lock w:val="sdtContentLocked"/>
        <w:placeholder>
          <w:docPart w:val="8F1F80613ACA486C890A24BBE598E7FB"/>
        </w:placeholder>
        <w:showingPlcHdr/>
      </w:sdtPr>
      <w:sdtEndPr/>
      <w:sdtContent>
        <w:p w14:paraId="6FBA84C4" w14:textId="77777777" w:rsidR="00F15548" w:rsidRDefault="000603E8" w:rsidP="005B5BBF">
          <w:pPr>
            <w:spacing w:after="0" w:line="14" w:lineRule="exact"/>
            <w:ind w:left="-691" w:right="-691"/>
          </w:pPr>
          <w:r w:rsidRPr="00C30247">
            <w:rPr>
              <w:rStyle w:val="PlaceholderText"/>
              <w:color w:val="FFFFFF" w:themeColor="background1"/>
            </w:rPr>
            <w:t>.</w:t>
          </w:r>
        </w:p>
      </w:sdtContent>
    </w:sdt>
    <w:p w14:paraId="6184561A" w14:textId="77777777" w:rsidR="00694C1D" w:rsidRDefault="00694C1D" w:rsidP="005B5BBF">
      <w:pPr>
        <w:spacing w:after="0" w:line="14" w:lineRule="exact"/>
        <w:ind w:left="-691" w:right="-691"/>
      </w:pPr>
    </w:p>
    <w:p w14:paraId="2CE809E0" w14:textId="77777777" w:rsidR="00694C1D" w:rsidRDefault="00694C1D" w:rsidP="005B5BBF">
      <w:pPr>
        <w:spacing w:after="0" w:line="14" w:lineRule="exact"/>
        <w:ind w:left="-691" w:right="-691"/>
      </w:pPr>
    </w:p>
    <w:p w14:paraId="5CCF9577" w14:textId="77777777" w:rsidR="00694C1D" w:rsidRDefault="00694C1D" w:rsidP="005B5BBF">
      <w:pPr>
        <w:spacing w:after="0" w:line="14" w:lineRule="exact"/>
        <w:ind w:left="-691" w:right="-691"/>
      </w:pPr>
    </w:p>
    <w:p w14:paraId="22A5CDD3" w14:textId="77777777" w:rsidR="00694C1D" w:rsidRDefault="00694C1D" w:rsidP="005B5BBF">
      <w:pPr>
        <w:spacing w:after="0" w:line="14" w:lineRule="exact"/>
        <w:ind w:left="-691" w:right="-691"/>
      </w:pPr>
    </w:p>
    <w:p w14:paraId="4DD5D817" w14:textId="77777777" w:rsidR="00694C1D" w:rsidRDefault="00694C1D" w:rsidP="005B5BBF">
      <w:pPr>
        <w:spacing w:after="0" w:line="14" w:lineRule="exact"/>
        <w:ind w:left="-691" w:right="-691"/>
      </w:pPr>
    </w:p>
    <w:p w14:paraId="1FCFCC4A" w14:textId="77777777" w:rsidR="00694C1D" w:rsidRDefault="00694C1D" w:rsidP="005B5BBF">
      <w:pPr>
        <w:spacing w:after="0" w:line="14" w:lineRule="exact"/>
        <w:ind w:left="-691" w:right="-691"/>
      </w:pPr>
    </w:p>
    <w:p w14:paraId="01DCF5DF" w14:textId="77777777" w:rsidR="00694C1D" w:rsidRDefault="00694C1D" w:rsidP="005B5BBF">
      <w:pPr>
        <w:spacing w:after="0" w:line="14" w:lineRule="exact"/>
        <w:ind w:left="-691" w:right="-691"/>
      </w:pPr>
    </w:p>
    <w:p w14:paraId="14D12E54" w14:textId="77777777" w:rsidR="00694C1D" w:rsidRDefault="00694C1D" w:rsidP="005B5BBF">
      <w:pPr>
        <w:spacing w:after="0" w:line="14" w:lineRule="exact"/>
        <w:ind w:left="-691" w:right="-691"/>
      </w:pPr>
    </w:p>
    <w:p w14:paraId="37EAF67B" w14:textId="77777777" w:rsidR="00694C1D" w:rsidRDefault="00694C1D" w:rsidP="005B5BBF">
      <w:pPr>
        <w:spacing w:after="0" w:line="14" w:lineRule="exact"/>
        <w:ind w:left="-691" w:right="-691"/>
      </w:pPr>
    </w:p>
    <w:p w14:paraId="4BFE8C5F" w14:textId="77777777" w:rsidR="00694C1D" w:rsidRDefault="00694C1D" w:rsidP="005B5BBF">
      <w:pPr>
        <w:spacing w:after="0" w:line="14" w:lineRule="exact"/>
        <w:ind w:left="-691" w:right="-691"/>
      </w:pPr>
    </w:p>
    <w:p w14:paraId="7F5C017C" w14:textId="77777777" w:rsidR="00694C1D" w:rsidRDefault="00694C1D" w:rsidP="005B5BBF">
      <w:pPr>
        <w:spacing w:after="0" w:line="14" w:lineRule="exact"/>
        <w:ind w:left="-691" w:right="-691"/>
      </w:pPr>
    </w:p>
    <w:p w14:paraId="7B97C83C" w14:textId="77777777" w:rsidR="00973884" w:rsidRPr="005160B5" w:rsidRDefault="00973884" w:rsidP="00973884">
      <w:pPr>
        <w:pStyle w:val="ListParagraph"/>
        <w:widowControl w:val="0"/>
        <w:numPr>
          <w:ilvl w:val="0"/>
          <w:numId w:val="1"/>
        </w:numPr>
        <w:autoSpaceDE w:val="0"/>
        <w:autoSpaceDN w:val="0"/>
        <w:adjustRightInd w:val="0"/>
        <w:spacing w:after="0" w:line="240" w:lineRule="auto"/>
        <w:jc w:val="both"/>
        <w:rPr>
          <w:rFonts w:cstheme="minorHAnsi"/>
        </w:rPr>
      </w:pPr>
      <w:r w:rsidRPr="005160B5">
        <w:rPr>
          <w:rFonts w:cstheme="minorHAnsi"/>
          <w:b/>
          <w:bCs/>
        </w:rPr>
        <w:t>Rationale</w:t>
      </w:r>
      <w:r w:rsidRPr="005160B5">
        <w:rPr>
          <w:rFonts w:cstheme="minorHAnsi"/>
          <w:bCs/>
        </w:rPr>
        <w:t xml:space="preserve">. </w:t>
      </w:r>
      <w:r w:rsidRPr="005160B5">
        <w:rPr>
          <w:rFonts w:cstheme="minorHAnsi"/>
        </w:rPr>
        <w:t>The mismanagement of mercury and e-waste in Sub-Saharan countries have devastating impacts at the regional scale. For example, illegal trade of mercury, facilitated by non-guarded borders and routes, leads to severe developmental problems in children, and income losses across countries; the UPOPs released from inappropriately disposed e-waste can travel long distances, causing transboundary impacts, such as cancer and diminished intelligence. These are regional-level problems, which cannot be solved through the efforts of single countries; they require joint and coordinated efforts across countries and at the regional level.</w:t>
      </w:r>
      <w:r w:rsidRPr="005160B5">
        <w:rPr>
          <w:rFonts w:cstheme="minorHAnsi"/>
          <w:b/>
        </w:rPr>
        <w:t xml:space="preserve"> </w:t>
      </w:r>
      <w:r w:rsidRPr="005160B5">
        <w:rPr>
          <w:rFonts w:cstheme="minorHAnsi"/>
        </w:rPr>
        <w:t xml:space="preserve">Without action, the number of deaths and sick people due to exposure to chemicals would increase exponentially in the future. </w:t>
      </w:r>
    </w:p>
    <w:p w14:paraId="08E995BE" w14:textId="77777777" w:rsidR="00973884" w:rsidRPr="005160B5" w:rsidRDefault="00973884" w:rsidP="00973884">
      <w:pPr>
        <w:pStyle w:val="ListParagraph"/>
        <w:ind w:left="0" w:hanging="450"/>
        <w:jc w:val="both"/>
        <w:rPr>
          <w:rFonts w:cstheme="minorHAnsi"/>
        </w:rPr>
      </w:pPr>
    </w:p>
    <w:p w14:paraId="5CCEC104" w14:textId="77777777" w:rsidR="002B423F" w:rsidRDefault="00973884" w:rsidP="002B423F">
      <w:pPr>
        <w:pStyle w:val="ListParagraph"/>
        <w:widowControl w:val="0"/>
        <w:numPr>
          <w:ilvl w:val="0"/>
          <w:numId w:val="1"/>
        </w:numPr>
        <w:autoSpaceDE w:val="0"/>
        <w:autoSpaceDN w:val="0"/>
        <w:adjustRightInd w:val="0"/>
        <w:spacing w:after="0" w:line="240" w:lineRule="auto"/>
        <w:jc w:val="both"/>
        <w:rPr>
          <w:rFonts w:cstheme="minorHAnsi"/>
        </w:rPr>
      </w:pPr>
      <w:r w:rsidRPr="005160B5">
        <w:rPr>
          <w:rFonts w:cstheme="minorHAnsi"/>
          <w:b/>
        </w:rPr>
        <w:lastRenderedPageBreak/>
        <w:t>Approach</w:t>
      </w:r>
      <w:r w:rsidRPr="005160B5">
        <w:rPr>
          <w:rFonts w:cstheme="minorHAnsi"/>
        </w:rPr>
        <w:t xml:space="preserve">. To respond to this urgent need, the proposed project will implement a </w:t>
      </w:r>
      <w:r w:rsidRPr="005160B5">
        <w:rPr>
          <w:rFonts w:cstheme="minorHAnsi"/>
          <w:b/>
        </w:rPr>
        <w:t>regional approach</w:t>
      </w:r>
      <w:r w:rsidRPr="005160B5">
        <w:rPr>
          <w:rFonts w:cstheme="minorHAnsi"/>
        </w:rPr>
        <w:t xml:space="preserve"> to improve the management and reduce exposure to mercury and UPOPs. This approach will promote harmonization of policies and regulations across countries; will disseminate state-of-the-art knowledge and best practices to reduce harmful emissions; and will leverage finance to scale up these practices after the end of the project. These actions will be conducted through a knowledge platform</w:t>
      </w:r>
      <w:r>
        <w:rPr>
          <w:rStyle w:val="FootnoteReference"/>
          <w:rFonts w:cstheme="minorHAnsi"/>
        </w:rPr>
        <w:footnoteReference w:id="17"/>
      </w:r>
      <w:r w:rsidRPr="005160B5">
        <w:rPr>
          <w:rFonts w:cstheme="minorHAnsi"/>
        </w:rPr>
        <w:t xml:space="preserve"> dedicated to facilitating the coordination and alignment of countries’ activities with the existing sound practices. While the platform will be managed by the Bank in the first project year, efforts will be made to identify and appoint</w:t>
      </w:r>
      <w:r>
        <w:rPr>
          <w:rStyle w:val="FootnoteReference"/>
          <w:rFonts w:cstheme="minorHAnsi"/>
        </w:rPr>
        <w:footnoteReference w:id="18"/>
      </w:r>
      <w:r w:rsidRPr="005160B5">
        <w:rPr>
          <w:rFonts w:cstheme="minorHAnsi"/>
        </w:rPr>
        <w:t xml:space="preserve"> a regional institution – e.g. </w:t>
      </w:r>
      <w:r>
        <w:rPr>
          <w:rFonts w:cstheme="minorHAnsi"/>
        </w:rPr>
        <w:t xml:space="preserve">AU, </w:t>
      </w:r>
      <w:r w:rsidRPr="005160B5">
        <w:rPr>
          <w:rFonts w:cstheme="minorHAnsi"/>
        </w:rPr>
        <w:t>ECOWAS, COMESA, or SADC – to manage it on a long-term basis, thus ensuring regional ownership in the promotion of lessons learned and good practices in the management of chemicals.</w:t>
      </w:r>
    </w:p>
    <w:p w14:paraId="0D59666C" w14:textId="77777777" w:rsidR="002B423F" w:rsidRPr="002B423F" w:rsidRDefault="002B423F" w:rsidP="002B423F">
      <w:pPr>
        <w:pStyle w:val="ListParagraph"/>
        <w:rPr>
          <w:rFonts w:cstheme="minorHAnsi"/>
          <w:bCs/>
        </w:rPr>
      </w:pPr>
    </w:p>
    <w:p w14:paraId="0A5C8906" w14:textId="0D405B52" w:rsidR="002B423F" w:rsidRPr="005C1252" w:rsidRDefault="00053E78" w:rsidP="002B423F">
      <w:pPr>
        <w:pStyle w:val="ListParagraph"/>
        <w:widowControl w:val="0"/>
        <w:numPr>
          <w:ilvl w:val="0"/>
          <w:numId w:val="1"/>
        </w:numPr>
        <w:autoSpaceDE w:val="0"/>
        <w:autoSpaceDN w:val="0"/>
        <w:adjustRightInd w:val="0"/>
        <w:spacing w:after="0" w:line="240" w:lineRule="auto"/>
        <w:jc w:val="both"/>
        <w:rPr>
          <w:rFonts w:cstheme="minorHAnsi"/>
        </w:rPr>
      </w:pPr>
      <w:r w:rsidRPr="000F7320">
        <w:rPr>
          <w:rFonts w:cstheme="minorHAnsi"/>
          <w:b/>
          <w:bCs/>
        </w:rPr>
        <w:t>Linkage to</w:t>
      </w:r>
      <w:r>
        <w:rPr>
          <w:rFonts w:cstheme="minorHAnsi"/>
          <w:bCs/>
        </w:rPr>
        <w:t xml:space="preserve"> </w:t>
      </w:r>
      <w:r w:rsidR="002B423F" w:rsidRPr="002B423F">
        <w:rPr>
          <w:rFonts w:cstheme="minorHAnsi"/>
          <w:b/>
          <w:bCs/>
        </w:rPr>
        <w:t>GEF 6 Chemicals and Waste Focal Area Strategy</w:t>
      </w:r>
      <w:r w:rsidR="00CF319F">
        <w:rPr>
          <w:rFonts w:cstheme="minorHAnsi"/>
          <w:b/>
          <w:bCs/>
        </w:rPr>
        <w:t xml:space="preserve">. </w:t>
      </w:r>
      <w:r w:rsidR="00CF319F" w:rsidRPr="00CF319F">
        <w:rPr>
          <w:rFonts w:cstheme="minorHAnsi"/>
          <w:bCs/>
        </w:rPr>
        <w:t xml:space="preserve">The project </w:t>
      </w:r>
      <w:r w:rsidR="00CF319F">
        <w:rPr>
          <w:rFonts w:cstheme="minorHAnsi"/>
          <w:bCs/>
        </w:rPr>
        <w:t xml:space="preserve">directly aligns and </w:t>
      </w:r>
      <w:r w:rsidR="00CF319F" w:rsidRPr="00CF319F">
        <w:rPr>
          <w:rFonts w:cstheme="minorHAnsi"/>
          <w:bCs/>
        </w:rPr>
        <w:t>will</w:t>
      </w:r>
      <w:r w:rsidR="00CF319F">
        <w:rPr>
          <w:rFonts w:cstheme="minorHAnsi"/>
          <w:b/>
          <w:bCs/>
        </w:rPr>
        <w:t xml:space="preserve"> </w:t>
      </w:r>
      <w:r w:rsidR="00CF319F" w:rsidRPr="002B423F">
        <w:rPr>
          <w:rFonts w:cstheme="minorHAnsi"/>
          <w:bCs/>
        </w:rPr>
        <w:t>contribute to the</w:t>
      </w:r>
      <w:r w:rsidR="00CF319F">
        <w:rPr>
          <w:rFonts w:cstheme="minorHAnsi"/>
          <w:b/>
          <w:bCs/>
        </w:rPr>
        <w:t xml:space="preserve"> </w:t>
      </w:r>
      <w:r w:rsidR="00CF319F" w:rsidRPr="00093FCC">
        <w:rPr>
          <w:rFonts w:cstheme="minorHAnsi"/>
          <w:bCs/>
        </w:rPr>
        <w:t>strategy</w:t>
      </w:r>
      <w:r w:rsidR="002B423F" w:rsidRPr="002B423F">
        <w:rPr>
          <w:rFonts w:cstheme="minorHAnsi"/>
          <w:b/>
          <w:bCs/>
        </w:rPr>
        <w:t xml:space="preserve"> </w:t>
      </w:r>
      <w:r w:rsidR="002B423F" w:rsidRPr="002B423F">
        <w:rPr>
          <w:rFonts w:cstheme="minorHAnsi"/>
          <w:bCs/>
        </w:rPr>
        <w:t xml:space="preserve">that aims “to prevent the exposure of humans and the environment to harmful chemicals and waste of global importance including POPs, mercury and ozone depleting substances.” The EHPMP is directly informed by the </w:t>
      </w:r>
      <w:r w:rsidR="002B423F" w:rsidRPr="002B423F">
        <w:rPr>
          <w:rFonts w:cstheme="minorHAnsi"/>
          <w:bCs/>
          <w:u w:val="single"/>
        </w:rPr>
        <w:t>Stockholm Convention on POPs</w:t>
      </w:r>
      <w:r w:rsidR="002B423F">
        <w:rPr>
          <w:rStyle w:val="FootnoteReference"/>
          <w:rFonts w:cstheme="minorHAnsi"/>
          <w:bCs/>
        </w:rPr>
        <w:footnoteReference w:id="19"/>
      </w:r>
      <w:r w:rsidR="002B423F" w:rsidRPr="002B423F">
        <w:rPr>
          <w:rFonts w:cstheme="minorHAnsi"/>
          <w:bCs/>
        </w:rPr>
        <w:t xml:space="preserve"> and the </w:t>
      </w:r>
      <w:r w:rsidR="002B423F" w:rsidRPr="002B423F">
        <w:rPr>
          <w:rFonts w:cstheme="minorHAnsi"/>
          <w:bCs/>
          <w:u w:val="single"/>
        </w:rPr>
        <w:t>Minamata Convention on Mercury</w:t>
      </w:r>
      <w:r w:rsidR="002B423F">
        <w:rPr>
          <w:rStyle w:val="FootnoteReference"/>
          <w:rFonts w:cstheme="minorHAnsi"/>
          <w:bCs/>
        </w:rPr>
        <w:footnoteReference w:id="20"/>
      </w:r>
      <w:r w:rsidR="002B423F" w:rsidRPr="002B423F">
        <w:rPr>
          <w:rFonts w:cstheme="minorHAnsi"/>
          <w:bCs/>
        </w:rPr>
        <w:t xml:space="preserve">, as well as other relevant multilateral environmental agreements such as the </w:t>
      </w:r>
      <w:r w:rsidR="002B423F" w:rsidRPr="002B423F">
        <w:rPr>
          <w:rFonts w:cstheme="minorHAnsi"/>
          <w:bCs/>
          <w:u w:val="single"/>
        </w:rPr>
        <w:t>Basel Convention</w:t>
      </w:r>
      <w:r w:rsidR="002B423F" w:rsidRPr="002B423F">
        <w:rPr>
          <w:rFonts w:cstheme="minorHAnsi"/>
          <w:bCs/>
        </w:rPr>
        <w:t xml:space="preserve"> on the Control of Transboundary Movements of Hazardous waste and the </w:t>
      </w:r>
      <w:r w:rsidR="002B423F" w:rsidRPr="002B423F">
        <w:rPr>
          <w:rFonts w:cstheme="minorHAnsi"/>
          <w:bCs/>
          <w:u w:val="single"/>
        </w:rPr>
        <w:t>Rotterdam Convention</w:t>
      </w:r>
      <w:r w:rsidR="002B423F" w:rsidRPr="002B423F">
        <w:rPr>
          <w:rFonts w:cstheme="minorHAnsi"/>
          <w:bCs/>
        </w:rPr>
        <w:t xml:space="preserve"> on </w:t>
      </w:r>
      <w:r w:rsidR="002B423F" w:rsidRPr="002B423F">
        <w:rPr>
          <w:rFonts w:cstheme="minorHAnsi"/>
        </w:rPr>
        <w:t>the Prior Informed Consent Procedure for Certain Hazardous Chemicals and Pesticides in International Trade</w:t>
      </w:r>
      <w:r w:rsidR="002B423F" w:rsidRPr="002B423F">
        <w:rPr>
          <w:rFonts w:cstheme="minorHAnsi"/>
          <w:bCs/>
        </w:rPr>
        <w:t xml:space="preserve">. The project contributes also to the </w:t>
      </w:r>
      <w:r w:rsidR="002B423F" w:rsidRPr="002B423F">
        <w:rPr>
          <w:rFonts w:cstheme="minorHAnsi"/>
          <w:bCs/>
          <w:u w:val="single"/>
        </w:rPr>
        <w:t>Sound Management of Chemicals and Wastes</w:t>
      </w:r>
      <w:r w:rsidR="002B423F" w:rsidRPr="002B423F">
        <w:rPr>
          <w:rFonts w:cstheme="minorHAnsi"/>
          <w:bCs/>
        </w:rPr>
        <w:t>, which is an important component of the global effort to achieve sustainable, inclusive and resilient human development and the SDGs. Specifically, by intervening in the management of hazardous chemicals, it is closely linked with the Goals 3, 5, 6, 8, 11, 12 and 14 and their specific targets.</w:t>
      </w:r>
    </w:p>
    <w:p w14:paraId="78FC109C" w14:textId="77777777" w:rsidR="005C1252" w:rsidRPr="005C1252" w:rsidRDefault="005C1252" w:rsidP="005C1252">
      <w:pPr>
        <w:widowControl w:val="0"/>
        <w:autoSpaceDE w:val="0"/>
        <w:autoSpaceDN w:val="0"/>
        <w:adjustRightInd w:val="0"/>
        <w:spacing w:after="0" w:line="240" w:lineRule="auto"/>
        <w:jc w:val="both"/>
        <w:rPr>
          <w:rFonts w:cstheme="minorHAnsi"/>
        </w:rPr>
      </w:pPr>
    </w:p>
    <w:p w14:paraId="6F4A5161" w14:textId="36F9F999" w:rsidR="00973884" w:rsidRDefault="00973884" w:rsidP="00973884">
      <w:pPr>
        <w:pStyle w:val="ListParagraph"/>
        <w:widowControl w:val="0"/>
        <w:numPr>
          <w:ilvl w:val="0"/>
          <w:numId w:val="1"/>
        </w:numPr>
        <w:autoSpaceDE w:val="0"/>
        <w:autoSpaceDN w:val="0"/>
        <w:adjustRightInd w:val="0"/>
        <w:spacing w:after="0" w:line="240" w:lineRule="auto"/>
        <w:jc w:val="both"/>
        <w:rPr>
          <w:rFonts w:cstheme="minorHAnsi"/>
        </w:rPr>
      </w:pPr>
      <w:r>
        <w:rPr>
          <w:rFonts w:cstheme="minorHAnsi"/>
          <w:b/>
        </w:rPr>
        <w:t>Components.</w:t>
      </w:r>
      <w:r>
        <w:rPr>
          <w:rFonts w:cstheme="minorHAnsi"/>
        </w:rPr>
        <w:t xml:space="preserve"> The project will combine country level and regional level activities through four components, described below. Annex</w:t>
      </w:r>
      <w:r w:rsidR="00C273DB">
        <w:rPr>
          <w:rFonts w:cstheme="minorHAnsi"/>
        </w:rPr>
        <w:t xml:space="preserve"> 1</w:t>
      </w:r>
      <w:r>
        <w:rPr>
          <w:rFonts w:cstheme="minorHAnsi"/>
        </w:rPr>
        <w:t xml:space="preserve"> describes the project </w:t>
      </w:r>
      <w:r w:rsidR="00C273DB">
        <w:rPr>
          <w:rFonts w:cstheme="minorHAnsi"/>
        </w:rPr>
        <w:t xml:space="preserve">context and </w:t>
      </w:r>
      <w:r>
        <w:rPr>
          <w:rFonts w:cstheme="minorHAnsi"/>
        </w:rPr>
        <w:t>components by country</w:t>
      </w:r>
      <w:r w:rsidR="00897B49">
        <w:rPr>
          <w:rFonts w:cstheme="minorHAnsi"/>
        </w:rPr>
        <w:t xml:space="preserve"> and Annex 2 </w:t>
      </w:r>
      <w:r w:rsidR="00651201">
        <w:rPr>
          <w:rFonts w:cstheme="minorHAnsi"/>
        </w:rPr>
        <w:t>illustrates the results chain for the project</w:t>
      </w:r>
      <w:r>
        <w:rPr>
          <w:rFonts w:cstheme="minorHAnsi"/>
        </w:rPr>
        <w:t>.</w:t>
      </w:r>
      <w:r w:rsidR="00E844B3">
        <w:rPr>
          <w:rFonts w:cstheme="minorHAnsi"/>
        </w:rPr>
        <w:t xml:space="preserve"> </w:t>
      </w:r>
    </w:p>
    <w:p w14:paraId="4DA7D574" w14:textId="3A5C3D2A" w:rsidR="00694C1D" w:rsidRDefault="00694C1D" w:rsidP="00694C1D">
      <w:pPr>
        <w:pStyle w:val="ListParagraph"/>
        <w:widowControl w:val="0"/>
        <w:autoSpaceDE w:val="0"/>
        <w:autoSpaceDN w:val="0"/>
        <w:adjustRightInd w:val="0"/>
        <w:spacing w:after="0" w:line="240" w:lineRule="auto"/>
        <w:ind w:left="3"/>
        <w:jc w:val="both"/>
        <w:rPr>
          <w:rFonts w:cstheme="minorHAnsi"/>
          <w:bCs/>
        </w:rPr>
      </w:pPr>
    </w:p>
    <w:p w14:paraId="05CAF19A" w14:textId="77777777" w:rsidR="0026745A" w:rsidRPr="00CA6CD8" w:rsidRDefault="0026745A" w:rsidP="0026745A">
      <w:pPr>
        <w:pStyle w:val="ListParagraph"/>
        <w:widowControl w:val="0"/>
        <w:autoSpaceDE w:val="0"/>
        <w:autoSpaceDN w:val="0"/>
        <w:adjustRightInd w:val="0"/>
        <w:spacing w:after="0" w:line="240" w:lineRule="auto"/>
        <w:ind w:left="0"/>
        <w:jc w:val="both"/>
        <w:rPr>
          <w:rFonts w:cstheme="minorHAnsi"/>
          <w:bCs/>
        </w:rPr>
      </w:pPr>
      <w:r w:rsidRPr="00CA6CD8">
        <w:rPr>
          <w:rFonts w:cstheme="minorHAnsi"/>
          <w:b/>
          <w:bCs/>
        </w:rPr>
        <w:t>Summary of GEF Financing by Country</w:t>
      </w:r>
    </w:p>
    <w:tbl>
      <w:tblPr>
        <w:tblStyle w:val="TableGrid"/>
        <w:tblW w:w="0" w:type="auto"/>
        <w:tblInd w:w="3" w:type="dxa"/>
        <w:tblLook w:val="04A0" w:firstRow="1" w:lastRow="0" w:firstColumn="1" w:lastColumn="0" w:noHBand="0" w:noVBand="1"/>
      </w:tblPr>
      <w:tblGrid>
        <w:gridCol w:w="3594"/>
        <w:gridCol w:w="1029"/>
        <w:gridCol w:w="1181"/>
        <w:gridCol w:w="1181"/>
        <w:gridCol w:w="1181"/>
        <w:gridCol w:w="1181"/>
      </w:tblGrid>
      <w:tr w:rsidR="0026745A" w14:paraId="19D9F3CD" w14:textId="77777777" w:rsidTr="007463F5">
        <w:tc>
          <w:tcPr>
            <w:tcW w:w="3952" w:type="dxa"/>
            <w:vAlign w:val="center"/>
          </w:tcPr>
          <w:p w14:paraId="55A3625B"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Component</w:t>
            </w:r>
          </w:p>
        </w:tc>
        <w:tc>
          <w:tcPr>
            <w:tcW w:w="557" w:type="dxa"/>
            <w:vAlign w:val="center"/>
          </w:tcPr>
          <w:p w14:paraId="78012CD9"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Tanzania</w:t>
            </w:r>
          </w:p>
        </w:tc>
        <w:tc>
          <w:tcPr>
            <w:tcW w:w="1206" w:type="dxa"/>
            <w:vAlign w:val="center"/>
          </w:tcPr>
          <w:p w14:paraId="60228155"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Ghana</w:t>
            </w:r>
          </w:p>
        </w:tc>
        <w:tc>
          <w:tcPr>
            <w:tcW w:w="1206" w:type="dxa"/>
            <w:vAlign w:val="center"/>
          </w:tcPr>
          <w:p w14:paraId="26C88780"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Zambia</w:t>
            </w:r>
          </w:p>
        </w:tc>
        <w:tc>
          <w:tcPr>
            <w:tcW w:w="1206" w:type="dxa"/>
            <w:vAlign w:val="center"/>
          </w:tcPr>
          <w:p w14:paraId="7603095F"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Kenya</w:t>
            </w:r>
          </w:p>
        </w:tc>
        <w:tc>
          <w:tcPr>
            <w:tcW w:w="1206" w:type="dxa"/>
            <w:vAlign w:val="center"/>
          </w:tcPr>
          <w:p w14:paraId="6D8B737A" w14:textId="77777777" w:rsidR="0026745A" w:rsidRPr="00616B1A" w:rsidRDefault="0026745A" w:rsidP="007463F5">
            <w:pPr>
              <w:pStyle w:val="ListParagraph"/>
              <w:ind w:left="0"/>
              <w:jc w:val="both"/>
              <w:rPr>
                <w:rFonts w:cstheme="minorHAnsi"/>
                <w:b/>
                <w:bCs/>
                <w:sz w:val="20"/>
                <w:szCs w:val="20"/>
              </w:rPr>
            </w:pPr>
            <w:r w:rsidRPr="00616B1A">
              <w:rPr>
                <w:rFonts w:cstheme="minorHAnsi"/>
                <w:b/>
                <w:bCs/>
                <w:sz w:val="20"/>
                <w:szCs w:val="20"/>
              </w:rPr>
              <w:t>Senegal</w:t>
            </w:r>
          </w:p>
        </w:tc>
      </w:tr>
      <w:tr w:rsidR="0026745A" w14:paraId="6C9D5A18" w14:textId="77777777" w:rsidTr="007463F5">
        <w:tc>
          <w:tcPr>
            <w:tcW w:w="3952" w:type="dxa"/>
            <w:vAlign w:val="center"/>
          </w:tcPr>
          <w:p w14:paraId="596AC947"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t>Component 1: Institutional strengthening, knowledge and capacity building</w:t>
            </w:r>
          </w:p>
        </w:tc>
        <w:tc>
          <w:tcPr>
            <w:tcW w:w="557" w:type="dxa"/>
            <w:vAlign w:val="center"/>
          </w:tcPr>
          <w:p w14:paraId="70B87F68"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1,500,000</w:t>
            </w:r>
          </w:p>
        </w:tc>
        <w:tc>
          <w:tcPr>
            <w:tcW w:w="1206" w:type="dxa"/>
            <w:vAlign w:val="center"/>
          </w:tcPr>
          <w:p w14:paraId="70FCB815"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1,900,000</w:t>
            </w:r>
          </w:p>
        </w:tc>
        <w:tc>
          <w:tcPr>
            <w:tcW w:w="1206" w:type="dxa"/>
            <w:vAlign w:val="center"/>
          </w:tcPr>
          <w:p w14:paraId="2A2EEED9"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1,800,000</w:t>
            </w:r>
          </w:p>
        </w:tc>
        <w:tc>
          <w:tcPr>
            <w:tcW w:w="1206" w:type="dxa"/>
            <w:vAlign w:val="center"/>
          </w:tcPr>
          <w:p w14:paraId="658DBFFD"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1,900,000</w:t>
            </w:r>
          </w:p>
        </w:tc>
        <w:tc>
          <w:tcPr>
            <w:tcW w:w="1206" w:type="dxa"/>
            <w:vAlign w:val="center"/>
          </w:tcPr>
          <w:p w14:paraId="0A0B3FDB"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1,504,587</w:t>
            </w:r>
          </w:p>
        </w:tc>
      </w:tr>
      <w:tr w:rsidR="0026745A" w14:paraId="4BFE0105" w14:textId="77777777" w:rsidTr="007463F5">
        <w:tc>
          <w:tcPr>
            <w:tcW w:w="3952" w:type="dxa"/>
            <w:vAlign w:val="center"/>
          </w:tcPr>
          <w:p w14:paraId="6B964AFE"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t>Component 2: Policy dialogue and regulatory enhancements</w:t>
            </w:r>
          </w:p>
        </w:tc>
        <w:tc>
          <w:tcPr>
            <w:tcW w:w="557" w:type="dxa"/>
            <w:vAlign w:val="center"/>
          </w:tcPr>
          <w:p w14:paraId="7FC7F146"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1,500,000</w:t>
            </w:r>
          </w:p>
        </w:tc>
        <w:tc>
          <w:tcPr>
            <w:tcW w:w="1206" w:type="dxa"/>
            <w:vAlign w:val="center"/>
          </w:tcPr>
          <w:p w14:paraId="34800623"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1,900,000</w:t>
            </w:r>
          </w:p>
        </w:tc>
        <w:tc>
          <w:tcPr>
            <w:tcW w:w="1206" w:type="dxa"/>
            <w:vAlign w:val="center"/>
          </w:tcPr>
          <w:p w14:paraId="2E78425C"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1,800,000</w:t>
            </w:r>
          </w:p>
        </w:tc>
        <w:tc>
          <w:tcPr>
            <w:tcW w:w="1206" w:type="dxa"/>
            <w:vAlign w:val="center"/>
          </w:tcPr>
          <w:p w14:paraId="56968E80"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1,800,000</w:t>
            </w:r>
          </w:p>
        </w:tc>
        <w:tc>
          <w:tcPr>
            <w:tcW w:w="1206" w:type="dxa"/>
            <w:vAlign w:val="center"/>
          </w:tcPr>
          <w:p w14:paraId="68E59E7D"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1,000,000</w:t>
            </w:r>
          </w:p>
        </w:tc>
      </w:tr>
      <w:tr w:rsidR="0026745A" w14:paraId="6A058CBC" w14:textId="77777777" w:rsidTr="007463F5">
        <w:tc>
          <w:tcPr>
            <w:tcW w:w="3952" w:type="dxa"/>
            <w:vAlign w:val="center"/>
          </w:tcPr>
          <w:p w14:paraId="6A79EDF6"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lastRenderedPageBreak/>
              <w:t>Component 3: Demonstrating the application of technological tools and economic approaches</w:t>
            </w:r>
          </w:p>
        </w:tc>
        <w:tc>
          <w:tcPr>
            <w:tcW w:w="557" w:type="dxa"/>
            <w:vAlign w:val="center"/>
          </w:tcPr>
          <w:p w14:paraId="62AAEBB4"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3,989,952</w:t>
            </w:r>
          </w:p>
        </w:tc>
        <w:tc>
          <w:tcPr>
            <w:tcW w:w="1206" w:type="dxa"/>
            <w:vAlign w:val="center"/>
          </w:tcPr>
          <w:p w14:paraId="52214376" w14:textId="77777777" w:rsidR="0026745A" w:rsidRPr="00616B1A" w:rsidRDefault="0026745A" w:rsidP="007463F5">
            <w:pPr>
              <w:pStyle w:val="ListParagraph"/>
              <w:ind w:left="0"/>
              <w:jc w:val="center"/>
              <w:rPr>
                <w:rFonts w:cstheme="minorHAnsi"/>
                <w:bCs/>
                <w:sz w:val="20"/>
                <w:szCs w:val="20"/>
              </w:rPr>
            </w:pPr>
            <w:r w:rsidRPr="00616B1A">
              <w:rPr>
                <w:rFonts w:cstheme="minorHAnsi"/>
                <w:sz w:val="20"/>
                <w:szCs w:val="20"/>
              </w:rPr>
              <w:t>4,500,568</w:t>
            </w:r>
          </w:p>
        </w:tc>
        <w:tc>
          <w:tcPr>
            <w:tcW w:w="1206" w:type="dxa"/>
            <w:vAlign w:val="center"/>
          </w:tcPr>
          <w:p w14:paraId="6125F55C"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4,263,696</w:t>
            </w:r>
          </w:p>
        </w:tc>
        <w:tc>
          <w:tcPr>
            <w:tcW w:w="1206" w:type="dxa"/>
            <w:vAlign w:val="center"/>
          </w:tcPr>
          <w:p w14:paraId="0842AF0E"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3,988,948</w:t>
            </w:r>
          </w:p>
        </w:tc>
        <w:tc>
          <w:tcPr>
            <w:tcW w:w="1206" w:type="dxa"/>
            <w:vAlign w:val="center"/>
          </w:tcPr>
          <w:p w14:paraId="01425D65"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2,737,877</w:t>
            </w:r>
          </w:p>
        </w:tc>
      </w:tr>
      <w:tr w:rsidR="0026745A" w14:paraId="65153267" w14:textId="77777777" w:rsidTr="007463F5">
        <w:tc>
          <w:tcPr>
            <w:tcW w:w="3952" w:type="dxa"/>
            <w:vAlign w:val="center"/>
          </w:tcPr>
          <w:p w14:paraId="71F4E61B" w14:textId="77777777" w:rsidR="0026745A" w:rsidRPr="00616B1A" w:rsidRDefault="0026745A" w:rsidP="007463F5">
            <w:pPr>
              <w:pStyle w:val="ListParagraph"/>
              <w:ind w:left="0"/>
              <w:rPr>
                <w:rFonts w:cstheme="minorHAnsi"/>
                <w:bCs/>
                <w:sz w:val="20"/>
                <w:szCs w:val="20"/>
              </w:rPr>
            </w:pPr>
            <w:r w:rsidRPr="00616B1A">
              <w:rPr>
                <w:rFonts w:cstheme="minorHAnsi"/>
                <w:bCs/>
                <w:i/>
                <w:iCs/>
                <w:sz w:val="20"/>
                <w:szCs w:val="20"/>
              </w:rPr>
              <w:t>Component 4: Project coordination and management</w:t>
            </w:r>
          </w:p>
        </w:tc>
        <w:tc>
          <w:tcPr>
            <w:tcW w:w="557" w:type="dxa"/>
            <w:vAlign w:val="center"/>
          </w:tcPr>
          <w:p w14:paraId="5B2C8EFF"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349,498</w:t>
            </w:r>
          </w:p>
        </w:tc>
        <w:tc>
          <w:tcPr>
            <w:tcW w:w="1206" w:type="dxa"/>
            <w:vAlign w:val="center"/>
          </w:tcPr>
          <w:p w14:paraId="5776A9C5"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415,028</w:t>
            </w:r>
          </w:p>
        </w:tc>
        <w:tc>
          <w:tcPr>
            <w:tcW w:w="1206" w:type="dxa"/>
            <w:vAlign w:val="center"/>
          </w:tcPr>
          <w:p w14:paraId="7E5BE24C"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393,185</w:t>
            </w:r>
          </w:p>
        </w:tc>
        <w:tc>
          <w:tcPr>
            <w:tcW w:w="1206" w:type="dxa"/>
            <w:vAlign w:val="center"/>
          </w:tcPr>
          <w:p w14:paraId="260587DB"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384,447</w:t>
            </w:r>
          </w:p>
        </w:tc>
        <w:tc>
          <w:tcPr>
            <w:tcW w:w="1206" w:type="dxa"/>
            <w:vAlign w:val="center"/>
          </w:tcPr>
          <w:p w14:paraId="3D3994FB" w14:textId="77777777" w:rsidR="0026745A" w:rsidRPr="00616B1A" w:rsidRDefault="0026745A" w:rsidP="007463F5">
            <w:pPr>
              <w:pStyle w:val="ListParagraph"/>
              <w:ind w:left="0"/>
              <w:jc w:val="center"/>
              <w:rPr>
                <w:rFonts w:cstheme="minorHAnsi"/>
                <w:bCs/>
                <w:sz w:val="20"/>
                <w:szCs w:val="20"/>
              </w:rPr>
            </w:pPr>
            <w:r w:rsidRPr="00616B1A">
              <w:rPr>
                <w:rFonts w:cstheme="minorHAnsi"/>
                <w:bCs/>
                <w:sz w:val="20"/>
                <w:szCs w:val="20"/>
              </w:rPr>
              <w:t>262,123</w:t>
            </w:r>
          </w:p>
        </w:tc>
      </w:tr>
      <w:tr w:rsidR="0026745A" w14:paraId="03682FB0" w14:textId="77777777" w:rsidTr="007463F5">
        <w:tc>
          <w:tcPr>
            <w:tcW w:w="3952" w:type="dxa"/>
            <w:vAlign w:val="center"/>
          </w:tcPr>
          <w:p w14:paraId="793B95B9" w14:textId="77777777" w:rsidR="0026745A" w:rsidRPr="00616B1A" w:rsidRDefault="0026745A" w:rsidP="007463F5">
            <w:pPr>
              <w:pStyle w:val="ListParagraph"/>
              <w:ind w:left="0"/>
              <w:rPr>
                <w:rFonts w:cstheme="minorHAnsi"/>
                <w:b/>
                <w:bCs/>
                <w:sz w:val="20"/>
                <w:szCs w:val="20"/>
              </w:rPr>
            </w:pPr>
            <w:r w:rsidRPr="00616B1A">
              <w:rPr>
                <w:rFonts w:cstheme="minorHAnsi"/>
                <w:b/>
                <w:iCs/>
                <w:sz w:val="20"/>
                <w:szCs w:val="20"/>
              </w:rPr>
              <w:t>Total</w:t>
            </w:r>
          </w:p>
        </w:tc>
        <w:tc>
          <w:tcPr>
            <w:tcW w:w="557" w:type="dxa"/>
            <w:vAlign w:val="bottom"/>
          </w:tcPr>
          <w:p w14:paraId="7DEBC128"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7,339,450</w:t>
            </w:r>
          </w:p>
        </w:tc>
        <w:tc>
          <w:tcPr>
            <w:tcW w:w="1206" w:type="dxa"/>
            <w:vAlign w:val="bottom"/>
          </w:tcPr>
          <w:p w14:paraId="585E0B8C"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8,715,596</w:t>
            </w:r>
          </w:p>
        </w:tc>
        <w:tc>
          <w:tcPr>
            <w:tcW w:w="1206" w:type="dxa"/>
            <w:vAlign w:val="bottom"/>
          </w:tcPr>
          <w:p w14:paraId="2AEDE8FB"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8,256,881</w:t>
            </w:r>
          </w:p>
        </w:tc>
        <w:tc>
          <w:tcPr>
            <w:tcW w:w="1206" w:type="dxa"/>
            <w:vAlign w:val="bottom"/>
          </w:tcPr>
          <w:p w14:paraId="040FA6FA"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8,073,395</w:t>
            </w:r>
          </w:p>
        </w:tc>
        <w:tc>
          <w:tcPr>
            <w:tcW w:w="1206" w:type="dxa"/>
            <w:vAlign w:val="bottom"/>
          </w:tcPr>
          <w:p w14:paraId="6785645D" w14:textId="77777777" w:rsidR="0026745A" w:rsidRPr="00616B1A" w:rsidRDefault="0026745A" w:rsidP="007463F5">
            <w:pPr>
              <w:pStyle w:val="ListParagraph"/>
              <w:ind w:left="0"/>
              <w:jc w:val="center"/>
              <w:rPr>
                <w:rFonts w:cstheme="minorHAnsi"/>
                <w:b/>
                <w:bCs/>
                <w:sz w:val="20"/>
                <w:szCs w:val="20"/>
              </w:rPr>
            </w:pPr>
            <w:r w:rsidRPr="00616B1A">
              <w:rPr>
                <w:rFonts w:cstheme="minorHAnsi"/>
                <w:b/>
                <w:sz w:val="20"/>
                <w:szCs w:val="20"/>
              </w:rPr>
              <w:t>5,504,587</w:t>
            </w:r>
          </w:p>
        </w:tc>
      </w:tr>
    </w:tbl>
    <w:p w14:paraId="4EFA15A1" w14:textId="77777777" w:rsidR="0026745A" w:rsidRDefault="0026745A" w:rsidP="0026745A">
      <w:pPr>
        <w:pStyle w:val="ListParagraph"/>
        <w:ind w:left="3"/>
        <w:jc w:val="both"/>
        <w:rPr>
          <w:rFonts w:ascii="Times New Roman" w:hAnsi="Times New Roman" w:cs="Times New Roman"/>
          <w:b/>
          <w:bCs/>
        </w:rPr>
      </w:pPr>
    </w:p>
    <w:p w14:paraId="55AAF3EB" w14:textId="77777777" w:rsidR="0026745A" w:rsidRPr="00694C1D" w:rsidRDefault="0026745A" w:rsidP="00694C1D">
      <w:pPr>
        <w:pStyle w:val="ListParagraph"/>
        <w:widowControl w:val="0"/>
        <w:autoSpaceDE w:val="0"/>
        <w:autoSpaceDN w:val="0"/>
        <w:adjustRightInd w:val="0"/>
        <w:spacing w:after="0" w:line="240" w:lineRule="auto"/>
        <w:ind w:left="3"/>
        <w:jc w:val="both"/>
        <w:rPr>
          <w:rFonts w:cstheme="minorHAnsi"/>
          <w:bCs/>
        </w:rPr>
      </w:pPr>
    </w:p>
    <w:p w14:paraId="4D5AC902" w14:textId="77777777" w:rsidR="00DF05EB" w:rsidRDefault="000603E8"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b/>
        </w:rPr>
        <w:t xml:space="preserve">Component 1: </w:t>
      </w:r>
      <w:r w:rsidR="00DF05EB" w:rsidRPr="00DF05EB">
        <w:rPr>
          <w:rFonts w:cstheme="minorHAnsi"/>
          <w:b/>
          <w:bCs/>
        </w:rPr>
        <w:t>Institutional strengthening, knowledge and capacity building</w:t>
      </w:r>
      <w:r w:rsidRPr="00DF05EB">
        <w:rPr>
          <w:b/>
        </w:rPr>
        <w:t>.</w:t>
      </w:r>
      <w:r>
        <w:t xml:space="preserve"> </w:t>
      </w:r>
      <w:r w:rsidR="00DF05EB" w:rsidRPr="00DF05EB">
        <w:rPr>
          <w:rFonts w:cstheme="minorHAnsi"/>
        </w:rPr>
        <w:t xml:space="preserve">This component will strengthen the knowledge and capacity to address the health risks due to the release of chemicals from ASGM, e-waste and other solid waste dumpsites. At the </w:t>
      </w:r>
      <w:r w:rsidR="00DF05EB" w:rsidRPr="00DF05EB">
        <w:rPr>
          <w:rFonts w:cstheme="minorHAnsi"/>
          <w:u w:val="single"/>
        </w:rPr>
        <w:t>country level</w:t>
      </w:r>
      <w:r w:rsidR="00DF05EB" w:rsidRPr="00DF05EB">
        <w:rPr>
          <w:rFonts w:cstheme="minorHAnsi"/>
        </w:rPr>
        <w:t xml:space="preserve">, some activities aim at reducing the use of and exposure to </w:t>
      </w:r>
      <w:r w:rsidR="00DF05EB" w:rsidRPr="00DF05EB">
        <w:rPr>
          <w:rFonts w:cstheme="minorHAnsi"/>
          <w:b/>
        </w:rPr>
        <w:t>mercury</w:t>
      </w:r>
      <w:r w:rsidR="00DF05EB" w:rsidRPr="00DF05EB">
        <w:rPr>
          <w:rFonts w:cstheme="minorHAnsi"/>
        </w:rPr>
        <w:t xml:space="preserve">, </w:t>
      </w:r>
      <w:proofErr w:type="spellStart"/>
      <w:r w:rsidR="00DF05EB" w:rsidRPr="00DF05EB">
        <w:rPr>
          <w:rFonts w:cstheme="minorHAnsi"/>
        </w:rPr>
        <w:t>eg</w:t>
      </w:r>
      <w:proofErr w:type="spellEnd"/>
      <w:r w:rsidR="00DF05EB" w:rsidRPr="00DF05EB">
        <w:rPr>
          <w:rFonts w:cstheme="minorHAnsi"/>
        </w:rPr>
        <w:t xml:space="preserve">: raising awareness on the health risks associated with inappropriate mining; training artisanal miners in using best practices, including mercury-free methods; promoting transparency across the gold value chain (e.g. procurement of cheap and reliable sources of mercury, access to credit, technical know-how); facilitating the formalization of the ASGM sector; and conducting national mercury inventories, consistent with the requirements of the Minamata Convention. </w:t>
      </w:r>
    </w:p>
    <w:p w14:paraId="43AAE4B8" w14:textId="77777777" w:rsidR="00DF05EB" w:rsidRPr="00DF05EB" w:rsidRDefault="00DF05EB" w:rsidP="00DF05EB">
      <w:pPr>
        <w:pStyle w:val="ListParagraph"/>
        <w:rPr>
          <w:rFonts w:cstheme="minorHAnsi"/>
        </w:rPr>
      </w:pPr>
    </w:p>
    <w:p w14:paraId="16247CE4" w14:textId="77777777"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Other activities aim at reducing the release of </w:t>
      </w:r>
      <w:r w:rsidRPr="00DF05EB">
        <w:rPr>
          <w:rFonts w:cstheme="minorHAnsi"/>
          <w:b/>
        </w:rPr>
        <w:t>UPOPs</w:t>
      </w:r>
      <w:r w:rsidRPr="00DF05EB">
        <w:rPr>
          <w:rFonts w:cstheme="minorHAnsi"/>
        </w:rPr>
        <w:t xml:space="preserve">, </w:t>
      </w:r>
      <w:proofErr w:type="spellStart"/>
      <w:r w:rsidRPr="00DF05EB">
        <w:rPr>
          <w:rFonts w:cstheme="minorHAnsi"/>
        </w:rPr>
        <w:t>eg</w:t>
      </w:r>
      <w:proofErr w:type="spellEnd"/>
      <w:r w:rsidRPr="00DF05EB">
        <w:rPr>
          <w:rFonts w:cstheme="minorHAnsi"/>
        </w:rPr>
        <w:t>: building capacity of e-waste agents on safe handling and recycling of waste; enhancing capacity of customs officers to strengthen borders’ inspections to curtail entry of illicit waste; building partnerships with the private sector for improved collection, recovery and recycling of e-waste; conducting e-waste inventories, by provenance and type; reviewing major toxic pollutants, and providing options for risk management.</w:t>
      </w:r>
    </w:p>
    <w:p w14:paraId="26A2CF55" w14:textId="77777777" w:rsidR="00DF05EB" w:rsidRPr="00DF05EB" w:rsidRDefault="00DF05EB" w:rsidP="00DF05EB">
      <w:pPr>
        <w:pStyle w:val="ListParagraph"/>
        <w:rPr>
          <w:rFonts w:cstheme="minorHAnsi"/>
        </w:rPr>
      </w:pPr>
    </w:p>
    <w:p w14:paraId="74B5177A" w14:textId="77777777"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In addition, at the </w:t>
      </w:r>
      <w:r w:rsidRPr="00DF05EB">
        <w:rPr>
          <w:rFonts w:cstheme="minorHAnsi"/>
          <w:u w:val="single"/>
        </w:rPr>
        <w:t>regional level</w:t>
      </w:r>
      <w:r w:rsidRPr="00DF05EB">
        <w:rPr>
          <w:rFonts w:cstheme="minorHAnsi"/>
        </w:rPr>
        <w:t xml:space="preserve">, this component will support the participation of key stakeholders in multi-national workshops and other fora organized through the knowledge platform. This will allow south-south learning, exchange of up-to-date knowledge and inter-governmental cooperation, with the view of changing the mindset towards adopting cleaner practices and technologies. Very importantly, these events will be instrumental in </w:t>
      </w:r>
      <w:r w:rsidRPr="00DF05EB">
        <w:rPr>
          <w:rFonts w:cstheme="minorHAnsi"/>
          <w:i/>
        </w:rPr>
        <w:t>learning from</w:t>
      </w:r>
      <w:r w:rsidRPr="00DF05EB">
        <w:rPr>
          <w:rFonts w:cstheme="minorHAnsi"/>
        </w:rPr>
        <w:t xml:space="preserve"> other countries’ successful experience in the application of sound technologies in chemical management, as well as </w:t>
      </w:r>
      <w:r w:rsidRPr="00DF05EB">
        <w:rPr>
          <w:rFonts w:cstheme="minorHAnsi"/>
          <w:i/>
        </w:rPr>
        <w:t>sharing with regional actors the project’s</w:t>
      </w:r>
      <w:r w:rsidRPr="00DF05EB">
        <w:rPr>
          <w:rFonts w:cstheme="minorHAnsi"/>
        </w:rPr>
        <w:t xml:space="preserve"> lessons from the deployment of cleaner technologies within Component 3.</w:t>
      </w:r>
    </w:p>
    <w:p w14:paraId="2E395548" w14:textId="77777777" w:rsidR="00DF05EB" w:rsidRPr="00DF05EB" w:rsidRDefault="00DF05EB" w:rsidP="00DF05EB">
      <w:pPr>
        <w:pStyle w:val="ListParagraph"/>
        <w:rPr>
          <w:rFonts w:cstheme="minorHAnsi"/>
          <w:b/>
          <w:bCs/>
        </w:rPr>
      </w:pPr>
    </w:p>
    <w:p w14:paraId="3C65562A" w14:textId="03981F92"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b/>
          <w:bCs/>
        </w:rPr>
        <w:t>Component 2: Policy Dialogue and Regulatory Enhancements</w:t>
      </w:r>
      <w:r>
        <w:rPr>
          <w:rFonts w:cstheme="minorHAnsi"/>
        </w:rPr>
        <w:t xml:space="preserve">. </w:t>
      </w:r>
      <w:r w:rsidRPr="00DF05EB">
        <w:rPr>
          <w:rFonts w:cstheme="minorHAnsi"/>
        </w:rPr>
        <w:t>This component will support the Governments’ efforts in strengthening current environmental policies and regulations and facilitate their implementation to better address the health risks associated to mercury and UPOPs. The component will cover the</w:t>
      </w:r>
      <w:r w:rsidR="00074C66">
        <w:rPr>
          <w:rFonts w:cstheme="minorHAnsi"/>
        </w:rPr>
        <w:t xml:space="preserve"> </w:t>
      </w:r>
      <w:r w:rsidRPr="00DF05EB">
        <w:rPr>
          <w:rFonts w:cstheme="minorHAnsi"/>
        </w:rPr>
        <w:t xml:space="preserve">actions </w:t>
      </w:r>
      <w:r w:rsidR="00C13178">
        <w:rPr>
          <w:rFonts w:cstheme="minorHAnsi"/>
        </w:rPr>
        <w:t xml:space="preserve">tailored to and monitored </w:t>
      </w:r>
      <w:r w:rsidRPr="00DF05EB">
        <w:rPr>
          <w:rFonts w:cstheme="minorHAnsi"/>
        </w:rPr>
        <w:t xml:space="preserve">at the </w:t>
      </w:r>
      <w:r w:rsidRPr="00074C66">
        <w:rPr>
          <w:rFonts w:cstheme="minorHAnsi"/>
        </w:rPr>
        <w:t>country level.</w:t>
      </w:r>
    </w:p>
    <w:p w14:paraId="133AA506" w14:textId="77777777" w:rsidR="00DF05EB" w:rsidRPr="00DF05EB" w:rsidRDefault="00DF05EB" w:rsidP="00DF05EB">
      <w:pPr>
        <w:pStyle w:val="ListParagraph"/>
        <w:rPr>
          <w:rFonts w:cstheme="minorHAnsi"/>
        </w:rPr>
      </w:pPr>
    </w:p>
    <w:p w14:paraId="375BDBB0" w14:textId="77777777" w:rsidR="00DF05EB" w:rsidRDefault="00DF05EB" w:rsidP="00DF05EB">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Concerning </w:t>
      </w:r>
      <w:r w:rsidRPr="00DF05EB">
        <w:rPr>
          <w:rFonts w:cstheme="minorHAnsi"/>
          <w:b/>
        </w:rPr>
        <w:t>mercury</w:t>
      </w:r>
      <w:r w:rsidRPr="00DF05EB">
        <w:rPr>
          <w:rFonts w:cstheme="minorHAnsi"/>
        </w:rPr>
        <w:t>: amending laws and regulations to include provisions addressing the challenges posed by mercury, in line with Minamata Convention; developing strategies to promote emissions reductions from mercury (including mercury-free methods, managing trade, training); and developing public health strategies to reduce exposure of miners and their communities to mercury</w:t>
      </w:r>
      <w:r>
        <w:rPr>
          <w:rStyle w:val="FootnoteReference"/>
          <w:rFonts w:cstheme="minorHAnsi"/>
        </w:rPr>
        <w:footnoteReference w:id="21"/>
      </w:r>
      <w:r w:rsidRPr="00DF05EB">
        <w:rPr>
          <w:rFonts w:cstheme="minorHAnsi"/>
        </w:rPr>
        <w:t xml:space="preserve">. </w:t>
      </w:r>
    </w:p>
    <w:p w14:paraId="455C6BC9" w14:textId="77777777" w:rsidR="00DF05EB" w:rsidRPr="00DF05EB" w:rsidRDefault="00DF05EB" w:rsidP="00DF05EB">
      <w:pPr>
        <w:pStyle w:val="ListParagraph"/>
        <w:rPr>
          <w:rFonts w:cstheme="minorHAnsi"/>
        </w:rPr>
      </w:pPr>
    </w:p>
    <w:p w14:paraId="3C07D58A" w14:textId="77777777" w:rsidR="006D1665" w:rsidRDefault="00DF05EB" w:rsidP="006D1665">
      <w:pPr>
        <w:pStyle w:val="ListParagraph"/>
        <w:widowControl w:val="0"/>
        <w:numPr>
          <w:ilvl w:val="0"/>
          <w:numId w:val="1"/>
        </w:numPr>
        <w:autoSpaceDE w:val="0"/>
        <w:autoSpaceDN w:val="0"/>
        <w:adjustRightInd w:val="0"/>
        <w:spacing w:after="0" w:line="240" w:lineRule="auto"/>
        <w:jc w:val="both"/>
        <w:rPr>
          <w:rFonts w:cstheme="minorHAnsi"/>
        </w:rPr>
      </w:pPr>
      <w:r w:rsidRPr="00DF05EB">
        <w:rPr>
          <w:rFonts w:cstheme="minorHAnsi"/>
        </w:rPr>
        <w:t xml:space="preserve">Concerning the </w:t>
      </w:r>
      <w:r w:rsidRPr="00DF05EB">
        <w:rPr>
          <w:rFonts w:cstheme="minorHAnsi"/>
          <w:b/>
        </w:rPr>
        <w:t>UPOPs</w:t>
      </w:r>
      <w:r w:rsidRPr="00DF05EB">
        <w:rPr>
          <w:rFonts w:cstheme="minorHAnsi"/>
        </w:rPr>
        <w:t xml:space="preserve">: developing guidelines and standards related to best practices in e-waste handling, processing and disposal; </w:t>
      </w:r>
      <w:r w:rsidRPr="00DF05EB">
        <w:rPr>
          <w:rFonts w:eastAsia="Times New Roman" w:cstheme="minorHAnsi"/>
        </w:rPr>
        <w:t>developing</w:t>
      </w:r>
      <w:r w:rsidRPr="00DF05EB">
        <w:rPr>
          <w:rFonts w:eastAsia="Times New Roman" w:cstheme="minorHAnsi"/>
          <w:bCs/>
          <w:iCs/>
        </w:rPr>
        <w:t xml:space="preserve"> </w:t>
      </w:r>
      <w:r w:rsidRPr="00DF05EB">
        <w:rPr>
          <w:rFonts w:eastAsia="Times New Roman" w:cstheme="minorHAnsi"/>
        </w:rPr>
        <w:t xml:space="preserve">strategies and implementation plans for promoting the reduction of emissions and exposure to UPOPs; conducting assessments of national and local frameworks for waste </w:t>
      </w:r>
      <w:r w:rsidRPr="00DF05EB">
        <w:rPr>
          <w:rFonts w:eastAsia="Times New Roman" w:cstheme="minorHAnsi"/>
        </w:rPr>
        <w:lastRenderedPageBreak/>
        <w:t>management, from generation to disposal; conducting value chain analyses and identifying appropriate solutions to strengthen waste management; developing or finalizing e-waste management regulations and their dissemination.</w:t>
      </w:r>
    </w:p>
    <w:p w14:paraId="6D42C75F" w14:textId="77777777" w:rsidR="006D1665" w:rsidRPr="006D1665" w:rsidRDefault="006D1665" w:rsidP="006D1665">
      <w:pPr>
        <w:pStyle w:val="ListParagraph"/>
        <w:rPr>
          <w:rFonts w:eastAsia="Times New Roman" w:cstheme="minorHAnsi"/>
        </w:rPr>
      </w:pPr>
    </w:p>
    <w:p w14:paraId="65FE98ED" w14:textId="77777777" w:rsidR="006D1665" w:rsidRPr="006D1665" w:rsidRDefault="00DF05EB" w:rsidP="006D1665">
      <w:pPr>
        <w:pStyle w:val="ListParagraph"/>
        <w:widowControl w:val="0"/>
        <w:numPr>
          <w:ilvl w:val="0"/>
          <w:numId w:val="1"/>
        </w:numPr>
        <w:autoSpaceDE w:val="0"/>
        <w:autoSpaceDN w:val="0"/>
        <w:adjustRightInd w:val="0"/>
        <w:spacing w:after="0" w:line="240" w:lineRule="auto"/>
        <w:jc w:val="both"/>
        <w:rPr>
          <w:rFonts w:cstheme="minorHAnsi"/>
        </w:rPr>
      </w:pPr>
      <w:r w:rsidRPr="006D1665">
        <w:rPr>
          <w:rFonts w:eastAsia="Times New Roman" w:cstheme="minorHAnsi"/>
        </w:rPr>
        <w:t xml:space="preserve">For both types of actions, </w:t>
      </w:r>
      <w:proofErr w:type="gramStart"/>
      <w:r w:rsidRPr="006D1665">
        <w:rPr>
          <w:rFonts w:eastAsia="Times New Roman" w:cstheme="minorHAnsi"/>
        </w:rPr>
        <w:t>particular attention</w:t>
      </w:r>
      <w:proofErr w:type="gramEnd"/>
      <w:r w:rsidRPr="006D1665">
        <w:rPr>
          <w:rFonts w:eastAsia="Times New Roman" w:cstheme="minorHAnsi"/>
        </w:rPr>
        <w:t xml:space="preserve"> will be given to provisions aiming at preventing exposure of vulnerable populations (e.g. children, women of child-bearing age, pregnant women) to the toxicity of mercury and UPOPs. In addition, at the </w:t>
      </w:r>
      <w:r w:rsidRPr="006D1665">
        <w:rPr>
          <w:rFonts w:eastAsia="Times New Roman" w:cstheme="minorHAnsi"/>
          <w:u w:val="single"/>
        </w:rPr>
        <w:t>regional level</w:t>
      </w:r>
      <w:r w:rsidRPr="006D1665">
        <w:rPr>
          <w:rFonts w:eastAsia="Times New Roman" w:cstheme="minorHAnsi"/>
        </w:rPr>
        <w:t>, the component will support the participation of stakeholders in regional events that would be fundamental for building harmonized policies and strategies to reduce generation and exposure to chemicals</w:t>
      </w:r>
      <w:r>
        <w:rPr>
          <w:rStyle w:val="FootnoteReference"/>
          <w:rFonts w:eastAsia="Times New Roman" w:cstheme="minorHAnsi"/>
        </w:rPr>
        <w:footnoteReference w:id="22"/>
      </w:r>
      <w:r w:rsidRPr="006D1665">
        <w:rPr>
          <w:rFonts w:eastAsia="Times New Roman" w:cstheme="minorHAnsi"/>
        </w:rPr>
        <w:t>.</w:t>
      </w:r>
    </w:p>
    <w:p w14:paraId="5089543A" w14:textId="77777777" w:rsidR="006D1665" w:rsidRPr="006D1665" w:rsidRDefault="006D1665" w:rsidP="006D1665">
      <w:pPr>
        <w:pStyle w:val="ListParagraph"/>
        <w:rPr>
          <w:rFonts w:cstheme="minorHAnsi"/>
          <w:b/>
          <w:bCs/>
        </w:rPr>
      </w:pPr>
    </w:p>
    <w:p w14:paraId="0E4031BC" w14:textId="77777777" w:rsidR="000E2841" w:rsidRPr="000E2841" w:rsidRDefault="00DF05EB" w:rsidP="00DF05EB">
      <w:pPr>
        <w:pStyle w:val="ListParagraph"/>
        <w:widowControl w:val="0"/>
        <w:numPr>
          <w:ilvl w:val="0"/>
          <w:numId w:val="1"/>
        </w:numPr>
        <w:autoSpaceDE w:val="0"/>
        <w:autoSpaceDN w:val="0"/>
        <w:adjustRightInd w:val="0"/>
        <w:spacing w:after="0" w:line="240" w:lineRule="auto"/>
        <w:jc w:val="both"/>
        <w:rPr>
          <w:u w:val="single"/>
        </w:rPr>
      </w:pPr>
      <w:r w:rsidRPr="006D1665">
        <w:rPr>
          <w:rFonts w:cstheme="minorHAnsi"/>
          <w:b/>
          <w:bCs/>
        </w:rPr>
        <w:t>Component 3: Demonstrating the Application of Technological Tools and Economic Approaches</w:t>
      </w:r>
      <w:r w:rsidR="006D1665">
        <w:rPr>
          <w:rFonts w:cstheme="minorHAnsi"/>
        </w:rPr>
        <w:t xml:space="preserve">. </w:t>
      </w:r>
      <w:r w:rsidRPr="006D1665">
        <w:rPr>
          <w:rFonts w:cstheme="minorHAnsi"/>
          <w:bCs/>
        </w:rPr>
        <w:t xml:space="preserve">This component will finance the selection and application of specific cleaner technologies in contaminated areas of each country. The technologies will be chosen based on criteria aiming at: reducing environmental health risks at the community level, cost effectiveness, and potential for replication (scale-up). Thus, the investments will be community-focused, and the project will be technology-neutral, to ensure that the most appropriate and cost-effective technology choices are made. </w:t>
      </w:r>
    </w:p>
    <w:p w14:paraId="4B3162BF" w14:textId="77777777" w:rsidR="000E2841" w:rsidRPr="000E2841" w:rsidRDefault="000E2841" w:rsidP="000E2841">
      <w:pPr>
        <w:pStyle w:val="ListParagraph"/>
        <w:rPr>
          <w:rFonts w:cstheme="minorHAnsi"/>
          <w:b/>
        </w:rPr>
      </w:pPr>
    </w:p>
    <w:p w14:paraId="4334C7F8" w14:textId="6914939B" w:rsidR="00DF05EB" w:rsidRPr="00F825DF" w:rsidRDefault="00DF05EB" w:rsidP="000E2841">
      <w:pPr>
        <w:pStyle w:val="ListParagraph"/>
        <w:widowControl w:val="0"/>
        <w:numPr>
          <w:ilvl w:val="0"/>
          <w:numId w:val="1"/>
        </w:numPr>
        <w:autoSpaceDE w:val="0"/>
        <w:autoSpaceDN w:val="0"/>
        <w:adjustRightInd w:val="0"/>
        <w:spacing w:after="0" w:line="240" w:lineRule="auto"/>
        <w:jc w:val="both"/>
        <w:rPr>
          <w:u w:val="single"/>
        </w:rPr>
      </w:pPr>
      <w:r w:rsidRPr="000E2841">
        <w:rPr>
          <w:rFonts w:cstheme="minorHAnsi"/>
          <w:b/>
        </w:rPr>
        <w:t>Component 4:  Project Coordination and Management</w:t>
      </w:r>
      <w:r w:rsidR="000E2841" w:rsidRPr="000E2841">
        <w:rPr>
          <w:rFonts w:cstheme="minorHAnsi"/>
          <w:bCs/>
        </w:rPr>
        <w:t>.</w:t>
      </w:r>
      <w:r w:rsidR="000E2841">
        <w:rPr>
          <w:rFonts w:cstheme="minorHAnsi"/>
          <w:bCs/>
        </w:rPr>
        <w:t xml:space="preserve"> </w:t>
      </w:r>
      <w:r w:rsidRPr="000E2841">
        <w:rPr>
          <w:rFonts w:cstheme="minorHAnsi"/>
          <w:bCs/>
        </w:rPr>
        <w:t>This component will provide support for project coordination and management; monitoring and evaluation at the national, and local levels. It will strengthen existing PCUs with additional staff to cover activities specific to this project and assist in preparing, implementing and monitoring approved activities in the participating countries. It will support the consolidation of country-level project information, including indicator baseline, reference sources and measurement to aggregate the results and development outcomes at EHPM program level. In addition, to the extent necessary, the analytical and preparation work will be carried out with GEF and other implementation stakeholders to harmonize the reporting templates, tools, and processes to facilitate the national project reporting that will feed into the regional knowledge exchange platform. The cost will cover the expenses related to project management, implementation and supervision of project activities, administration of procurement and financial management, implementation &amp; supervision of environmental and social safeguards and monitoring and evaluation.</w:t>
      </w:r>
    </w:p>
    <w:p w14:paraId="556F9D77" w14:textId="77777777" w:rsidR="00F825DF" w:rsidRPr="00F825DF" w:rsidRDefault="00F825DF" w:rsidP="00F825DF">
      <w:pPr>
        <w:pStyle w:val="ListParagraph"/>
        <w:widowControl w:val="0"/>
        <w:autoSpaceDE w:val="0"/>
        <w:autoSpaceDN w:val="0"/>
        <w:adjustRightInd w:val="0"/>
        <w:spacing w:after="0" w:line="240" w:lineRule="auto"/>
        <w:ind w:left="3"/>
        <w:jc w:val="both"/>
        <w:rPr>
          <w:u w:val="single"/>
        </w:rPr>
      </w:pPr>
    </w:p>
    <w:p w14:paraId="383EC1EA" w14:textId="1C327928" w:rsidR="00F825DF" w:rsidRPr="00F825DF" w:rsidRDefault="00F825DF" w:rsidP="00F825DF">
      <w:pPr>
        <w:pStyle w:val="ListParagraph"/>
        <w:widowControl w:val="0"/>
        <w:numPr>
          <w:ilvl w:val="0"/>
          <w:numId w:val="1"/>
        </w:numPr>
        <w:autoSpaceDE w:val="0"/>
        <w:autoSpaceDN w:val="0"/>
        <w:adjustRightInd w:val="0"/>
        <w:spacing w:after="0" w:line="240" w:lineRule="auto"/>
        <w:jc w:val="both"/>
        <w:rPr>
          <w:u w:val="single"/>
        </w:rPr>
      </w:pPr>
      <w:r w:rsidRPr="00F825DF">
        <w:rPr>
          <w:rFonts w:cstheme="minorHAnsi"/>
          <w:b/>
          <w:bCs/>
        </w:rPr>
        <w:t>Incremental cost reasoning and associated co-financing</w:t>
      </w:r>
      <w:r w:rsidRPr="00F825DF">
        <w:rPr>
          <w:rFonts w:cstheme="minorHAnsi"/>
          <w:bCs/>
        </w:rPr>
        <w:t>.</w:t>
      </w:r>
      <w:r>
        <w:rPr>
          <w:rFonts w:cstheme="minorHAnsi"/>
          <w:bCs/>
        </w:rPr>
        <w:t xml:space="preserve"> </w:t>
      </w:r>
      <w:r w:rsidRPr="00F825DF">
        <w:rPr>
          <w:rFonts w:cstheme="minorHAnsi"/>
          <w:bCs/>
        </w:rPr>
        <w:t>The project will provide incremental funding across the suite of project interventions financed by</w:t>
      </w:r>
      <w:r w:rsidR="006C5757">
        <w:rPr>
          <w:rFonts w:cstheme="minorHAnsi"/>
          <w:bCs/>
        </w:rPr>
        <w:t xml:space="preserve"> W</w:t>
      </w:r>
      <w:r w:rsidR="001B1D1A">
        <w:rPr>
          <w:rFonts w:cstheme="minorHAnsi"/>
          <w:bCs/>
        </w:rPr>
        <w:t>B</w:t>
      </w:r>
      <w:r w:rsidRPr="00F825DF">
        <w:rPr>
          <w:rFonts w:cstheme="minorHAnsi"/>
          <w:bCs/>
        </w:rPr>
        <w:t xml:space="preserve"> IDA in environment, urban, and mining sectors that focus on supporting improved capacity for effective pollution management</w:t>
      </w:r>
      <w:r w:rsidR="00417F85">
        <w:rPr>
          <w:rFonts w:cstheme="minorHAnsi"/>
          <w:bCs/>
        </w:rPr>
        <w:t xml:space="preserve"> in the participating countries</w:t>
      </w:r>
      <w:r w:rsidRPr="00F825DF">
        <w:rPr>
          <w:rFonts w:cstheme="minorHAnsi"/>
          <w:bCs/>
        </w:rPr>
        <w:t>. The GEF funding will be used to improve and consolidate the enabling environment necessary for technical assistance to support institutional strengthening and capacity building as well as knowledge sharing, policy dialogue, and regulatory enhancement to generate greater awareness of the impacts, including the health impacts related to the release of UPOPs and mercury. The co-financing from the WB through IDA and EITI funding</w:t>
      </w:r>
      <w:r w:rsidR="001B1D1A">
        <w:rPr>
          <w:rFonts w:cstheme="minorHAnsi"/>
          <w:bCs/>
        </w:rPr>
        <w:t xml:space="preserve"> and any trust funds</w:t>
      </w:r>
      <w:r w:rsidRPr="00F825DF">
        <w:rPr>
          <w:rFonts w:cstheme="minorHAnsi"/>
          <w:bCs/>
        </w:rPr>
        <w:t>, as well as contributions from participating countries will focus on investment to demonstrate application of technological tools and economic approaches for reduced environmental health risks associated with these harmful chemicals and wastes.</w:t>
      </w:r>
    </w:p>
    <w:p w14:paraId="19619F79" w14:textId="77777777" w:rsidR="00F825DF" w:rsidRPr="00F825DF" w:rsidRDefault="00F825DF" w:rsidP="00F825DF">
      <w:pPr>
        <w:pStyle w:val="ListParagraph"/>
        <w:rPr>
          <w:rFonts w:cstheme="minorHAnsi"/>
        </w:rPr>
      </w:pPr>
    </w:p>
    <w:p w14:paraId="7EBC8D47" w14:textId="77777777" w:rsidR="00F825DF" w:rsidRPr="00F825DF" w:rsidRDefault="00F825DF" w:rsidP="00F825DF">
      <w:pPr>
        <w:pStyle w:val="ListParagraph"/>
        <w:widowControl w:val="0"/>
        <w:numPr>
          <w:ilvl w:val="0"/>
          <w:numId w:val="1"/>
        </w:numPr>
        <w:autoSpaceDE w:val="0"/>
        <w:autoSpaceDN w:val="0"/>
        <w:adjustRightInd w:val="0"/>
        <w:spacing w:after="0" w:line="240" w:lineRule="auto"/>
        <w:jc w:val="both"/>
        <w:rPr>
          <w:u w:val="single"/>
        </w:rPr>
      </w:pPr>
      <w:r w:rsidRPr="00F825DF">
        <w:rPr>
          <w:rFonts w:cstheme="minorHAnsi"/>
        </w:rPr>
        <w:lastRenderedPageBreak/>
        <w:t xml:space="preserve">The project will strengthen communication at the national level to promote the integration of sound chemical and waste management into national budgets and sector level plans. Efforts will target policy makers in African countries recognizing the cross-cutting nature of sound management of chemicals and wastes in different sectors and its inherent impact on a sustainable future for all. The EHPMP targets not only the ministries of environment but also other sector ministries responsible for planning, finance, industry, technology, innovation, health, women, children, and labor. This shift would systematically increase the visibility of these issues using assessments of the social and environmental costs of mismanagement of chemicals and waste, including the impact on the productivity and health of communities. The policy dialogue (under component 2) will focus on shifting the allocation of resources from national budgets, and increased participation and contributions from the private sector to allow GEF interventions to be sustained after the end of the project. </w:t>
      </w:r>
    </w:p>
    <w:p w14:paraId="130A8D28" w14:textId="77777777" w:rsidR="00F825DF" w:rsidRPr="00F825DF" w:rsidRDefault="00F825DF" w:rsidP="00F825DF">
      <w:pPr>
        <w:pStyle w:val="ListParagraph"/>
        <w:rPr>
          <w:rFonts w:cstheme="minorHAnsi"/>
          <w:b/>
        </w:rPr>
      </w:pPr>
    </w:p>
    <w:p w14:paraId="515DECFC" w14:textId="5B4FE2AF" w:rsidR="00F825DF" w:rsidRPr="00570754" w:rsidRDefault="00F825DF" w:rsidP="00570754">
      <w:pPr>
        <w:pStyle w:val="ListParagraph"/>
        <w:widowControl w:val="0"/>
        <w:numPr>
          <w:ilvl w:val="0"/>
          <w:numId w:val="1"/>
        </w:numPr>
        <w:autoSpaceDE w:val="0"/>
        <w:autoSpaceDN w:val="0"/>
        <w:adjustRightInd w:val="0"/>
        <w:spacing w:after="0" w:line="240" w:lineRule="auto"/>
        <w:jc w:val="both"/>
        <w:rPr>
          <w:u w:val="single"/>
        </w:rPr>
      </w:pPr>
      <w:r w:rsidRPr="00F825DF">
        <w:rPr>
          <w:rFonts w:cstheme="minorHAnsi"/>
          <w:b/>
        </w:rPr>
        <w:t>Global environmental benefits</w:t>
      </w:r>
      <w:r>
        <w:rPr>
          <w:rFonts w:cstheme="minorHAnsi"/>
          <w:b/>
        </w:rPr>
        <w:t xml:space="preserve">. </w:t>
      </w:r>
      <w:r w:rsidRPr="00F825DF">
        <w:rPr>
          <w:rFonts w:cstheme="minorHAnsi"/>
          <w:b/>
        </w:rPr>
        <w:t xml:space="preserve">The project is one of the first integrated attempts to assist African countries </w:t>
      </w:r>
      <w:r w:rsidRPr="00F825DF">
        <w:rPr>
          <w:rFonts w:cstheme="minorHAnsi"/>
        </w:rPr>
        <w:t xml:space="preserve">develop strategies and plans to ensure long term sustainability of actions and significantly reducing the risks of exposure to harmful chemicals and hazardous wastes. The project will thus provide appropriate technologies and alternative options for the environmentally sound management of mercury and hazardous waste, leading to their and POPs release reduction. </w:t>
      </w:r>
      <w:r w:rsidR="00570754">
        <w:rPr>
          <w:rFonts w:cstheme="minorHAnsi"/>
        </w:rPr>
        <w:t xml:space="preserve"> </w:t>
      </w:r>
      <w:r w:rsidRPr="00570754">
        <w:rPr>
          <w:rFonts w:cstheme="minorHAnsi"/>
        </w:rPr>
        <w:t xml:space="preserve">The project directly contributes to GEF Corporate Result #5 </w:t>
      </w:r>
      <w:r w:rsidRPr="00570754">
        <w:rPr>
          <w:rFonts w:cstheme="minorHAnsi"/>
          <w:i/>
        </w:rPr>
        <w:t>Increase in phase-out, disposal and reduction of releases of POPs, ODS, mercury and other chemicals of global concern.</w:t>
      </w:r>
      <w:r w:rsidRPr="00570754">
        <w:rPr>
          <w:rFonts w:cstheme="minorHAnsi"/>
        </w:rPr>
        <w:t xml:space="preserve">    </w:t>
      </w:r>
    </w:p>
    <w:p w14:paraId="16899184" w14:textId="77777777" w:rsidR="00DF05EB" w:rsidRPr="002A61F9" w:rsidRDefault="00DF05EB" w:rsidP="000E2841">
      <w:pPr>
        <w:pStyle w:val="ListParagraph"/>
        <w:widowControl w:val="0"/>
        <w:autoSpaceDE w:val="0"/>
        <w:autoSpaceDN w:val="0"/>
        <w:adjustRightInd w:val="0"/>
        <w:spacing w:after="0" w:line="240" w:lineRule="auto"/>
        <w:ind w:left="3"/>
        <w:jc w:val="both"/>
        <w:rPr>
          <w:rFonts w:cstheme="minorHAnsi"/>
          <w:bCs/>
        </w:rPr>
      </w:pPr>
    </w:p>
    <w:p w14:paraId="3C1150B6" w14:textId="77777777" w:rsidR="002A61F9" w:rsidRPr="002A61F9" w:rsidRDefault="002A61F9" w:rsidP="002A61F9">
      <w:pPr>
        <w:pStyle w:val="ListParagraph"/>
        <w:widowControl w:val="0"/>
        <w:autoSpaceDE w:val="0"/>
        <w:autoSpaceDN w:val="0"/>
        <w:adjustRightInd w:val="0"/>
        <w:spacing w:after="0" w:line="240" w:lineRule="auto"/>
        <w:ind w:left="3"/>
        <w:jc w:val="both"/>
        <w:rPr>
          <w:rFonts w:cstheme="minorHAnsi"/>
          <w:bCs/>
        </w:rPr>
      </w:pPr>
    </w:p>
    <w:sdt>
      <w:sdtPr>
        <w:tag w:val="OPS_CORE_DATA_BLOCK"/>
        <w:id w:val="1985783327"/>
        <w:lock w:val="sdtContentLocked"/>
        <w:placeholder>
          <w:docPart w:val="DefaultPlaceholder_22675703"/>
        </w:placeholder>
        <w:group/>
      </w:sdtPr>
      <w:sdtEndPr/>
      <w:sdtContent>
        <w:sdt>
          <w:sdtPr>
            <w:tag w:val="OPS_CORE_SECTION_START_3"/>
            <w:id w:val="1176412801"/>
            <w:lock w:val="sdtContentLocked"/>
            <w:placeholder>
              <w:docPart w:val="F2F1857A6E8F46ACADCC6A64F46F7687"/>
            </w:placeholder>
            <w:showingPlcHdr/>
          </w:sdtPr>
          <w:sdtEndPr/>
          <w:sdtContent>
            <w:p w14:paraId="175CE42C" w14:textId="77777777" w:rsidR="00BD5311" w:rsidRDefault="000603E8" w:rsidP="00F15548">
              <w:pPr>
                <w:spacing w:after="0" w:line="240" w:lineRule="auto"/>
                <w:ind w:left="-691" w:right="-691"/>
              </w:pPr>
              <w:r w:rsidRPr="00C30247">
                <w:rPr>
                  <w:color w:val="FFFFFF" w:themeColor="background1"/>
                </w:rPr>
                <w:t>.</w:t>
              </w:r>
            </w:p>
          </w:sdtContent>
        </w:sdt>
        <w:p w14:paraId="61AA1DF6" w14:textId="77777777" w:rsidR="00BD5311" w:rsidRDefault="00BD5311" w:rsidP="003B27BD">
          <w:pPr>
            <w:spacing w:after="0" w:line="14" w:lineRule="exact"/>
            <w:ind w:left="-691" w:right="-691"/>
          </w:pPr>
        </w:p>
        <w:tbl>
          <w:tblPr>
            <w:tblStyle w:val="TableGrid35"/>
            <w:tblW w:w="10685" w:type="dxa"/>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5"/>
          </w:tblGrid>
          <w:tr w:rsidR="00B649D6" w14:paraId="472B18B5" w14:textId="77777777" w:rsidTr="005C71E8">
            <w:tc>
              <w:tcPr>
                <w:tcW w:w="10710" w:type="dxa"/>
              </w:tcPr>
              <w:p w14:paraId="564C4620" w14:textId="77777777" w:rsidR="00512170" w:rsidRPr="002230F4" w:rsidRDefault="000603E8" w:rsidP="005C71E8">
                <w:pPr>
                  <w:keepNext/>
                  <w:shd w:val="clear" w:color="auto" w:fill="F7F7F7"/>
                  <w:spacing w:line="360" w:lineRule="auto"/>
                  <w:ind w:left="-15" w:right="-158"/>
                  <w:rPr>
                    <w:rFonts w:ascii="Calibri" w:eastAsia="Times New Roman" w:hAnsi="Calibri" w:cs="Arial"/>
                    <w:b/>
                    <w:color w:val="172D5F"/>
                    <w:sz w:val="21"/>
                    <w:szCs w:val="21"/>
                  </w:rPr>
                </w:pPr>
                <w:r w:rsidRPr="005813C0">
                  <w:rPr>
                    <w:color w:val="7F7F7F"/>
                  </w:rPr>
                  <w:t>Legal Operational Policies</w:t>
                </w:r>
              </w:p>
            </w:tc>
          </w:tr>
        </w:tbl>
        <w:tbl>
          <w:tblPr>
            <w:tblW w:w="10620" w:type="dxa"/>
            <w:tblInd w:w="-720" w:type="dxa"/>
            <w:tblBorders>
              <w:top w:val="single" w:sz="4" w:space="0" w:color="D9D9D9"/>
              <w:bottom w:val="single" w:sz="4" w:space="0" w:color="D9D9D9"/>
              <w:insideH w:val="single" w:sz="4" w:space="0" w:color="D9D9D9"/>
              <w:insideV w:val="single" w:sz="4" w:space="0" w:color="D9D9D9"/>
            </w:tblBorders>
            <w:shd w:val="clear" w:color="auto" w:fill="F7F7F7"/>
            <w:tblLayout w:type="fixed"/>
            <w:tblLook w:val="04A0" w:firstRow="1" w:lastRow="0" w:firstColumn="1" w:lastColumn="0" w:noHBand="0" w:noVBand="1"/>
          </w:tblPr>
          <w:tblGrid>
            <w:gridCol w:w="5490"/>
            <w:gridCol w:w="5130"/>
          </w:tblGrid>
          <w:tr w:rsidR="00B649D6" w14:paraId="672C831E" w14:textId="77777777" w:rsidTr="00372162">
            <w:trPr>
              <w:trHeight w:val="432"/>
            </w:trPr>
            <w:tc>
              <w:tcPr>
                <w:tcW w:w="5490" w:type="dxa"/>
                <w:tcBorders>
                  <w:top w:val="nil"/>
                  <w:left w:val="nil"/>
                  <w:bottom w:val="single" w:sz="12" w:space="0" w:color="D9D9D9"/>
                  <w:right w:val="nil"/>
                </w:tcBorders>
                <w:shd w:val="clear" w:color="auto" w:fill="F7F7F7"/>
                <w:vAlign w:val="center"/>
              </w:tcPr>
              <w:p w14:paraId="5B5FC4D9" w14:textId="77777777" w:rsidR="001A1A8B" w:rsidRPr="002D66AD" w:rsidRDefault="001A1A8B"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color w:val="7F7F7F"/>
                  </w:rPr>
                </w:pPr>
              </w:p>
            </w:tc>
            <w:tc>
              <w:tcPr>
                <w:tcW w:w="5130" w:type="dxa"/>
                <w:tcBorders>
                  <w:top w:val="nil"/>
                  <w:left w:val="nil"/>
                  <w:bottom w:val="single" w:sz="12" w:space="0" w:color="D9D9D9"/>
                  <w:right w:val="nil"/>
                </w:tcBorders>
                <w:shd w:val="clear" w:color="auto" w:fill="F7F7F7"/>
                <w:tcMar>
                  <w:left w:w="0" w:type="dxa"/>
                  <w:right w:w="0" w:type="dxa"/>
                </w:tcMar>
                <w:vAlign w:val="center"/>
              </w:tcPr>
              <w:p w14:paraId="040FA4A8" w14:textId="77777777" w:rsidR="001A1A8B" w:rsidRPr="00106318" w:rsidRDefault="000603E8" w:rsidP="00B51331">
                <w:pPr>
                  <w:keepNext/>
                  <w:widowControl w:val="0"/>
                  <w:shd w:val="clear" w:color="auto" w:fill="F7F7F7"/>
                  <w:autoSpaceDE w:val="0"/>
                  <w:autoSpaceDN w:val="0"/>
                  <w:adjustRightInd w:val="0"/>
                  <w:spacing w:after="0" w:line="360" w:lineRule="auto"/>
                  <w:ind w:right="202" w:firstLine="90"/>
                  <w:rPr>
                    <w:rFonts w:ascii="Calibri" w:eastAsia="Calibri" w:hAnsi="Calibri" w:cs="Times New Roman"/>
                    <w:b/>
                    <w:color w:val="7F7F7F"/>
                  </w:rPr>
                </w:pPr>
                <w:r>
                  <w:rPr>
                    <w:rFonts w:ascii="Calibri" w:eastAsia="Calibri" w:hAnsi="Calibri" w:cs="Times New Roman"/>
                    <w:b/>
                    <w:color w:val="7F7F7F"/>
                  </w:rPr>
                  <w:t xml:space="preserve">           </w:t>
                </w:r>
                <w:r w:rsidRPr="00106318">
                  <w:rPr>
                    <w:rFonts w:ascii="Calibri" w:eastAsia="Calibri" w:hAnsi="Calibri" w:cs="Times New Roman"/>
                    <w:b/>
                    <w:color w:val="7F7F7F"/>
                  </w:rPr>
                  <w:t>Triggered?</w:t>
                </w:r>
              </w:p>
            </w:tc>
          </w:tr>
          <w:tr w:rsidR="00B649D6" w14:paraId="375829AE" w14:textId="77777777"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14:paraId="31AEF7AE" w14:textId="77777777" w:rsidR="001A1A8B" w:rsidRPr="002D66AD" w:rsidRDefault="000603E8"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noProof/>
                    <w:color w:val="7F7F7F"/>
                  </w:rPr>
                  <w:t>Projects on International Waterways OP 7.50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14:paraId="2060A9A0" w14:textId="77777777" w:rsidR="001A1A8B" w:rsidRPr="002D66AD" w:rsidRDefault="000603E8"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color w:val="7F7F7F"/>
                  </w:rPr>
                  <w:t xml:space="preserve">            </w:t>
                </w:r>
                <w:r w:rsidR="00372162">
                  <w:rPr>
                    <w:rFonts w:ascii="Calibri" w:eastAsia="Calibri" w:hAnsi="Calibri" w:cs="Times New Roman"/>
                    <w:noProof/>
                    <w:color w:val="7F7F7F"/>
                  </w:rPr>
                  <w:t>No</w:t>
                </w:r>
                <w:r w:rsidR="00B40DE1" w:rsidRPr="00B40DE1">
                  <w:rPr>
                    <w:rFonts w:ascii="Calibri" w:eastAsia="Calibri" w:hAnsi="Calibri" w:cs="Times New Roman"/>
                    <w:color w:val="7F7F7F"/>
                    <w:sz w:val="2"/>
                    <w:szCs w:val="2"/>
                  </w:rPr>
                  <w:t xml:space="preserve"> </w:t>
                </w:r>
              </w:p>
            </w:tc>
          </w:tr>
          <w:tr w:rsidR="00B649D6" w14:paraId="3E2C670F" w14:textId="77777777" w:rsidTr="00372162">
            <w:trPr>
              <w:trHeight w:val="432"/>
            </w:trPr>
            <w:tc>
              <w:tcPr>
                <w:tcW w:w="5490" w:type="dxa"/>
                <w:tcBorders>
                  <w:top w:val="single" w:sz="12" w:space="0" w:color="D9D9D9"/>
                  <w:left w:val="nil"/>
                  <w:bottom w:val="single" w:sz="8" w:space="0" w:color="D9D9D9"/>
                  <w:right w:val="nil"/>
                </w:tcBorders>
                <w:shd w:val="clear" w:color="auto" w:fill="F7F7F7"/>
                <w:vAlign w:val="center"/>
              </w:tcPr>
              <w:p w14:paraId="4C43C7C9" w14:textId="77777777" w:rsidR="001A1A8B" w:rsidRPr="002D66AD" w:rsidRDefault="000603E8" w:rsidP="00192CCE">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noProof/>
                    <w:color w:val="7F7F7F"/>
                  </w:rPr>
                  <w:t>Projects in Disputed Areas OP 7.60</w:t>
                </w:r>
              </w:p>
            </w:tc>
            <w:tc>
              <w:tcPr>
                <w:tcW w:w="5130" w:type="dxa"/>
                <w:tcBorders>
                  <w:top w:val="single" w:sz="12" w:space="0" w:color="D9D9D9"/>
                  <w:left w:val="nil"/>
                  <w:bottom w:val="single" w:sz="8" w:space="0" w:color="D9D9D9"/>
                  <w:right w:val="nil"/>
                </w:tcBorders>
                <w:shd w:val="clear" w:color="auto" w:fill="F7F7F7"/>
                <w:tcMar>
                  <w:left w:w="0" w:type="dxa"/>
                  <w:right w:w="0" w:type="dxa"/>
                </w:tcMar>
                <w:vAlign w:val="center"/>
              </w:tcPr>
              <w:p w14:paraId="5F54401C" w14:textId="77777777" w:rsidR="001A1A8B" w:rsidRPr="002D66AD" w:rsidRDefault="000603E8" w:rsidP="00C35A74">
                <w:pPr>
                  <w:widowControl w:val="0"/>
                  <w:shd w:val="clear" w:color="auto" w:fill="F7F7F7"/>
                  <w:autoSpaceDE w:val="0"/>
                  <w:autoSpaceDN w:val="0"/>
                  <w:adjustRightInd w:val="0"/>
                  <w:spacing w:after="0" w:line="240" w:lineRule="auto"/>
                  <w:ind w:right="202"/>
                  <w:rPr>
                    <w:rFonts w:ascii="Calibri" w:eastAsia="Calibri" w:hAnsi="Calibri" w:cs="Times New Roman"/>
                    <w:color w:val="7F7F7F"/>
                  </w:rPr>
                </w:pPr>
                <w:r>
                  <w:rPr>
                    <w:rFonts w:ascii="Calibri" w:eastAsia="Calibri" w:hAnsi="Calibri" w:cs="Times New Roman"/>
                    <w:color w:val="7F7F7F"/>
                  </w:rPr>
                  <w:t xml:space="preserve">            </w:t>
                </w:r>
                <w:r w:rsidR="00372162">
                  <w:rPr>
                    <w:rFonts w:ascii="Calibri" w:eastAsia="Calibri" w:hAnsi="Calibri" w:cs="Times New Roman"/>
                    <w:noProof/>
                    <w:color w:val="7F7F7F"/>
                  </w:rPr>
                  <w:t>No</w:t>
                </w:r>
                <w:r w:rsidR="00B40DE1" w:rsidRPr="00B40DE1">
                  <w:rPr>
                    <w:rFonts w:ascii="Calibri" w:eastAsia="Calibri" w:hAnsi="Calibri" w:cs="Times New Roman"/>
                    <w:color w:val="7F7F7F"/>
                    <w:sz w:val="2"/>
                    <w:szCs w:val="2"/>
                  </w:rPr>
                  <w:t xml:space="preserve"> </w:t>
                </w:r>
              </w:p>
            </w:tc>
          </w:tr>
        </w:tbl>
        <w:p w14:paraId="487A9213" w14:textId="77777777" w:rsidR="001A1A8B" w:rsidRDefault="001A1A8B" w:rsidP="00C67E5F">
          <w:pPr>
            <w:widowControl w:val="0"/>
            <w:shd w:val="clear" w:color="auto" w:fill="F7F7F7"/>
            <w:autoSpaceDE w:val="0"/>
            <w:autoSpaceDN w:val="0"/>
            <w:adjustRightInd w:val="0"/>
            <w:spacing w:after="0" w:line="360" w:lineRule="auto"/>
            <w:ind w:left="-691" w:right="-504" w:firstLine="86"/>
            <w:rPr>
              <w:rFonts w:ascii="Calibri" w:eastAsia="Calibri" w:hAnsi="Calibri" w:cs="Times New Roman"/>
              <w:color w:val="7F7F7F"/>
            </w:rPr>
          </w:pPr>
        </w:p>
        <w:tbl>
          <w:tblPr>
            <w:tblStyle w:val="TableGrid35"/>
            <w:tblW w:w="10649" w:type="dxa"/>
            <w:tblInd w:w="-7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49"/>
          </w:tblGrid>
          <w:tr w:rsidR="00B649D6" w14:paraId="198328DC" w14:textId="77777777" w:rsidTr="006178BD">
            <w:trPr>
              <w:trHeight w:val="403"/>
            </w:trPr>
            <w:tc>
              <w:tcPr>
                <w:tcW w:w="10649" w:type="dxa"/>
              </w:tcPr>
              <w:p w14:paraId="2142C4C3" w14:textId="77777777" w:rsidR="00012D93" w:rsidRDefault="000603E8" w:rsidP="009C33F8">
                <w:pPr>
                  <w:keepNext/>
                  <w:widowControl w:val="0"/>
                  <w:shd w:val="clear" w:color="auto" w:fill="F7F7F7"/>
                  <w:autoSpaceDE w:val="0"/>
                  <w:autoSpaceDN w:val="0"/>
                  <w:adjustRightInd w:val="0"/>
                  <w:spacing w:line="360" w:lineRule="auto"/>
                  <w:ind w:left="-45" w:right="-504"/>
                  <w:rPr>
                    <w:rFonts w:ascii="Calibri" w:eastAsia="Calibri" w:hAnsi="Calibri" w:cs="Times New Roman"/>
                    <w:color w:val="7F7F7F"/>
                  </w:rPr>
                </w:pPr>
                <w:r w:rsidRPr="002D66AD">
                  <w:rPr>
                    <w:rFonts w:ascii="Calibri" w:eastAsia="Calibri" w:hAnsi="Calibri" w:cs="Times New Roman"/>
                    <w:color w:val="7F7F7F"/>
                  </w:rPr>
                  <w:t xml:space="preserve">Summary of </w:t>
                </w:r>
                <w:r>
                  <w:rPr>
                    <w:rFonts w:ascii="Calibri" w:eastAsia="Calibri" w:hAnsi="Calibri" w:cs="Times New Roman"/>
                    <w:color w:val="7F7F7F"/>
                  </w:rPr>
                  <w:t>Assessment</w:t>
                </w:r>
                <w:r w:rsidRPr="002D66AD">
                  <w:rPr>
                    <w:rFonts w:ascii="Calibri" w:eastAsia="Calibri" w:hAnsi="Calibri" w:cs="Times New Roman"/>
                    <w:color w:val="7F7F7F"/>
                  </w:rPr>
                  <w:t xml:space="preserve"> of Environmental </w:t>
                </w:r>
                <w:r w:rsidR="00153661">
                  <w:rPr>
                    <w:rFonts w:ascii="Calibri" w:eastAsia="Calibri" w:hAnsi="Calibri" w:cs="Times New Roman"/>
                    <w:color w:val="7F7F7F"/>
                  </w:rPr>
                  <w:t xml:space="preserve">and Social </w:t>
                </w:r>
                <w:r w:rsidRPr="002D66AD">
                  <w:rPr>
                    <w:rFonts w:ascii="Calibri" w:eastAsia="Calibri" w:hAnsi="Calibri" w:cs="Times New Roman"/>
                    <w:color w:val="7F7F7F"/>
                  </w:rPr>
                  <w:t>Risks and Impacts</w:t>
                </w:r>
              </w:p>
            </w:tc>
          </w:tr>
        </w:tbl>
        <w:sdt>
          <w:sdtPr>
            <w:tag w:val="OPS_CORE_SECTION_END_3"/>
            <w:id w:val="2097260806"/>
            <w:lock w:val="sdtContentLocked"/>
            <w:placeholder>
              <w:docPart w:val="A4583429CCED41ABBD020F7DA57547F9"/>
            </w:placeholder>
            <w:showingPlcHdr/>
          </w:sdtPr>
          <w:sdtEndPr/>
          <w:sdtContent>
            <w:p w14:paraId="57C3465A" w14:textId="77777777" w:rsidR="00876602" w:rsidRDefault="000603E8" w:rsidP="00431CA1">
              <w:pPr>
                <w:spacing w:after="0" w:line="14" w:lineRule="exact"/>
                <w:ind w:left="-691" w:right="-691"/>
              </w:pPr>
              <w:r w:rsidRPr="00C30247">
                <w:rPr>
                  <w:color w:val="FFFFFF" w:themeColor="background1"/>
                </w:rPr>
                <w:t>.</w:t>
              </w:r>
            </w:p>
          </w:sdtContent>
        </w:sdt>
      </w:sdtContent>
    </w:sdt>
    <w:p w14:paraId="796EE101" w14:textId="77777777" w:rsidR="004B3F66" w:rsidRDefault="004B3F66" w:rsidP="002230F4">
      <w:pPr>
        <w:spacing w:after="0" w:line="240" w:lineRule="auto"/>
        <w:ind w:left="-691" w:right="-691"/>
        <w:sectPr w:rsidR="004B3F66" w:rsidSect="008D2AF0">
          <w:type w:val="continuous"/>
          <w:pgSz w:w="12240" w:h="15840"/>
          <w:pgMar w:top="1440" w:right="1440" w:bottom="1440" w:left="1440" w:header="720" w:footer="720" w:gutter="0"/>
          <w:cols w:space="720"/>
          <w:docGrid w:linePitch="360"/>
        </w:sectPr>
      </w:pPr>
    </w:p>
    <w:p w14:paraId="2DBADC4D" w14:textId="77777777" w:rsidR="002E7662" w:rsidRDefault="002E7662" w:rsidP="002E7662">
      <w:pPr>
        <w:widowControl w:val="0"/>
        <w:spacing w:after="0" w:line="240" w:lineRule="auto"/>
        <w:ind w:right="-504"/>
        <w:jc w:val="both"/>
        <w:rPr>
          <w:rFonts w:ascii="Calibri" w:eastAsia="Calibri" w:hAnsi="Calibri" w:cs="Calibri"/>
          <w:color w:val="000000"/>
          <w:szCs w:val="24"/>
        </w:rPr>
      </w:pPr>
    </w:p>
    <w:p w14:paraId="74A2300A" w14:textId="1A70F685" w:rsid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Pr>
          <w:rFonts w:cstheme="minorHAnsi"/>
          <w:bCs/>
        </w:rPr>
        <w:t>The Program consists of the regional project and a</w:t>
      </w:r>
      <w:r w:rsidRPr="00C5681E">
        <w:rPr>
          <w:rFonts w:cstheme="minorHAnsi"/>
          <w:bCs/>
        </w:rPr>
        <w:t xml:space="preserve"> regional platform for knowledge sharing and technology dissemination efforts</w:t>
      </w:r>
      <w:r>
        <w:rPr>
          <w:rFonts w:cstheme="minorHAnsi"/>
          <w:bCs/>
        </w:rPr>
        <w:t xml:space="preserve"> </w:t>
      </w:r>
      <w:r w:rsidRPr="00F81BE2">
        <w:rPr>
          <w:rFonts w:cstheme="minorHAnsi"/>
          <w:bCs/>
        </w:rPr>
        <w:t>(BETF - P166233)</w:t>
      </w:r>
      <w:r>
        <w:rPr>
          <w:rFonts w:cstheme="minorHAnsi"/>
          <w:bCs/>
        </w:rPr>
        <w:t>. The regional knowledge platform</w:t>
      </w:r>
      <w:r w:rsidRPr="00C5681E">
        <w:rPr>
          <w:rFonts w:cstheme="minorHAnsi"/>
          <w:bCs/>
        </w:rPr>
        <w:t xml:space="preserve"> </w:t>
      </w:r>
      <w:r w:rsidRPr="00C572A0">
        <w:rPr>
          <w:rFonts w:cstheme="minorHAnsi"/>
          <w:bCs/>
        </w:rPr>
        <w:t>will establish a coordination framework for the EHPM</w:t>
      </w:r>
      <w:r>
        <w:rPr>
          <w:rFonts w:cstheme="minorHAnsi"/>
          <w:bCs/>
        </w:rPr>
        <w:t>P</w:t>
      </w:r>
      <w:r w:rsidRPr="00C572A0">
        <w:rPr>
          <w:rFonts w:cstheme="minorHAnsi"/>
          <w:bCs/>
        </w:rPr>
        <w:t xml:space="preserve"> with the participating countries, the regional partners</w:t>
      </w:r>
      <w:r>
        <w:rPr>
          <w:rFonts w:cstheme="minorHAnsi"/>
          <w:bCs/>
        </w:rPr>
        <w:t>,</w:t>
      </w:r>
      <w:r w:rsidRPr="00C572A0">
        <w:rPr>
          <w:rFonts w:cstheme="minorHAnsi"/>
          <w:bCs/>
        </w:rPr>
        <w:t xml:space="preserve"> </w:t>
      </w:r>
      <w:r>
        <w:rPr>
          <w:rFonts w:cstheme="minorHAnsi"/>
          <w:bCs/>
        </w:rPr>
        <w:t>and other</w:t>
      </w:r>
      <w:r w:rsidRPr="00C572A0">
        <w:rPr>
          <w:rFonts w:cstheme="minorHAnsi"/>
          <w:bCs/>
        </w:rPr>
        <w:t xml:space="preserve"> stakeholders</w:t>
      </w:r>
      <w:r>
        <w:rPr>
          <w:rFonts w:cstheme="minorHAnsi"/>
          <w:bCs/>
        </w:rPr>
        <w:t xml:space="preserve"> to promote </w:t>
      </w:r>
      <w:r w:rsidRPr="006D5E44">
        <w:rPr>
          <w:rFonts w:cstheme="minorHAnsi"/>
          <w:bCs/>
        </w:rPr>
        <w:t>communication among Program stakeholders through consultations at the national and regional levels.</w:t>
      </w:r>
      <w:r w:rsidR="00677345">
        <w:rPr>
          <w:rFonts w:cstheme="minorHAnsi"/>
          <w:bCs/>
        </w:rPr>
        <w:t xml:space="preserve"> A detailed Stakeholder Engagement Plan (SEP) has been prepared</w:t>
      </w:r>
      <w:r w:rsidR="00E12C05">
        <w:rPr>
          <w:rFonts w:cstheme="minorHAnsi"/>
          <w:bCs/>
        </w:rPr>
        <w:t xml:space="preserve"> for implementation</w:t>
      </w:r>
      <w:r w:rsidR="004829B3">
        <w:rPr>
          <w:rFonts w:cstheme="minorHAnsi"/>
          <w:bCs/>
        </w:rPr>
        <w:t xml:space="preserve"> of the project</w:t>
      </w:r>
      <w:r w:rsidR="00E12C05">
        <w:rPr>
          <w:rFonts w:cstheme="minorHAnsi"/>
          <w:bCs/>
        </w:rPr>
        <w:t>.</w:t>
      </w:r>
      <w:r w:rsidRPr="006D5E44">
        <w:rPr>
          <w:rFonts w:cstheme="minorHAnsi"/>
          <w:bCs/>
        </w:rPr>
        <w:t xml:space="preserve"> </w:t>
      </w:r>
    </w:p>
    <w:p w14:paraId="0D19E712" w14:textId="77777777" w:rsidR="002248AB" w:rsidRDefault="002248AB" w:rsidP="002248AB">
      <w:pPr>
        <w:pStyle w:val="ListParagraph"/>
        <w:widowControl w:val="0"/>
        <w:autoSpaceDE w:val="0"/>
        <w:autoSpaceDN w:val="0"/>
        <w:adjustRightInd w:val="0"/>
        <w:spacing w:after="0" w:line="240" w:lineRule="auto"/>
        <w:ind w:left="3"/>
        <w:jc w:val="both"/>
        <w:rPr>
          <w:rFonts w:cstheme="minorHAnsi"/>
          <w:bCs/>
        </w:rPr>
      </w:pPr>
    </w:p>
    <w:p w14:paraId="35C265B2" w14:textId="77777777" w:rsidR="002248AB"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 xml:space="preserve">The key potential environmental issues associated with Component 3 activities, which can be in most cases readily avoided or managed/mitigated, are related to (i) hazardous waste management (including disposal) during preparation of pilot sites, (ii) occupational health and safety of workers, (iii) restriction of land use, and (iv) potential impacts to community health and safety. The project sites will </w:t>
      </w:r>
      <w:proofErr w:type="gramStart"/>
      <w:r w:rsidRPr="002248AB">
        <w:rPr>
          <w:rFonts w:ascii="Calibri" w:eastAsia="Calibri" w:hAnsi="Calibri" w:cs="Calibri"/>
          <w:color w:val="000000"/>
          <w:szCs w:val="24"/>
        </w:rPr>
        <w:t>be located in</w:t>
      </w:r>
      <w:proofErr w:type="gramEnd"/>
      <w:r w:rsidRPr="002248AB">
        <w:rPr>
          <w:rFonts w:ascii="Calibri" w:eastAsia="Calibri" w:hAnsi="Calibri" w:cs="Calibri"/>
          <w:color w:val="000000"/>
          <w:szCs w:val="24"/>
        </w:rPr>
        <w:t xml:space="preserve"> the areas that will not require physical or economic displacement or land acquisition due to the nature of proposed project activities.</w:t>
      </w:r>
    </w:p>
    <w:p w14:paraId="7DC4346D" w14:textId="77777777" w:rsidR="002248AB" w:rsidRPr="002248AB" w:rsidRDefault="002248AB" w:rsidP="002248AB">
      <w:pPr>
        <w:pStyle w:val="ListParagraph"/>
        <w:rPr>
          <w:rFonts w:ascii="Calibri" w:eastAsia="Calibri" w:hAnsi="Calibri" w:cs="Calibri"/>
          <w:color w:val="000000"/>
          <w:szCs w:val="24"/>
        </w:rPr>
      </w:pPr>
    </w:p>
    <w:p w14:paraId="6B1C46D6" w14:textId="77777777" w:rsidR="002248AB"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The Bank’s review considered the implementing agencies' capacity to manage its environmental, social, safety and health performance in compliance with ESS1 and other relevant standards. The institutional capacity for managing social risks in the five countries is variable and there is currently limited experience in implementing social elements of the new Environmental and Social Framework. However, the national environmental authorities all have previous experience in implementing World Bank Projects (including supporting the existing bank operations the pilot projects will be linked to).</w:t>
      </w:r>
      <w:r w:rsidR="002E7662" w:rsidRPr="002248AB">
        <w:rPr>
          <w:rFonts w:ascii="Calibri" w:eastAsia="Calibri" w:hAnsi="Calibri" w:cs="Calibri"/>
          <w:color w:val="000000"/>
          <w:szCs w:val="24"/>
        </w:rPr>
        <w:t xml:space="preserve"> </w:t>
      </w:r>
    </w:p>
    <w:p w14:paraId="36D668B8" w14:textId="77777777" w:rsidR="002248AB" w:rsidRPr="002248AB" w:rsidRDefault="002248AB" w:rsidP="002248AB">
      <w:pPr>
        <w:pStyle w:val="ListParagraph"/>
        <w:rPr>
          <w:rFonts w:ascii="Calibri" w:eastAsia="Calibri" w:hAnsi="Calibri" w:cs="Calibri"/>
          <w:color w:val="000000"/>
          <w:szCs w:val="24"/>
        </w:rPr>
      </w:pPr>
    </w:p>
    <w:p w14:paraId="5A7C20C0" w14:textId="77777777" w:rsidR="002248AB"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 xml:space="preserve">The Project will address the gaps through the preparation and implementation of an Environmental and Social Commitment Plan (ESCP). The ESCP will be based on the preparation and implementation of the ESIAs and the associated ESMPs. </w:t>
      </w:r>
    </w:p>
    <w:p w14:paraId="670151A5" w14:textId="77777777" w:rsidR="002248AB" w:rsidRPr="002248AB" w:rsidRDefault="002248AB" w:rsidP="002248AB">
      <w:pPr>
        <w:pStyle w:val="ListParagraph"/>
        <w:rPr>
          <w:rFonts w:ascii="Calibri" w:eastAsia="Calibri" w:hAnsi="Calibri" w:cs="Calibri"/>
          <w:color w:val="000000"/>
          <w:szCs w:val="24"/>
        </w:rPr>
      </w:pPr>
    </w:p>
    <w:p w14:paraId="38A6165C" w14:textId="77777777" w:rsidR="0064440F" w:rsidRPr="002248AB"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2248AB">
        <w:rPr>
          <w:rFonts w:ascii="Calibri" w:eastAsia="Calibri" w:hAnsi="Calibri" w:cs="Calibri"/>
          <w:color w:val="000000"/>
          <w:szCs w:val="24"/>
        </w:rPr>
        <w:t>The demonstrative investments (pilots) will introduce cleaner technologies and methodologies to phase-out mercury use in Artisanal and Small</w:t>
      </w:r>
      <w:r w:rsidR="00E75092" w:rsidRPr="002248AB">
        <w:rPr>
          <w:rFonts w:ascii="Calibri" w:eastAsia="Calibri" w:hAnsi="Calibri" w:cs="Calibri"/>
          <w:color w:val="000000"/>
          <w:szCs w:val="24"/>
        </w:rPr>
        <w:t>-</w:t>
      </w:r>
      <w:r w:rsidRPr="002248AB">
        <w:rPr>
          <w:rFonts w:ascii="Calibri" w:eastAsia="Calibri" w:hAnsi="Calibri" w:cs="Calibri"/>
          <w:color w:val="000000"/>
          <w:szCs w:val="24"/>
        </w:rPr>
        <w:t>scale mining and reduce emissions of unintentional POPs in waste management. The pilots will be selected and designed based on priority environmental health risks and the cost-effectiveness of interventions. These pilots will be directly connected to ongoing Bank operations in each participating country:</w:t>
      </w:r>
    </w:p>
    <w:p w14:paraId="56B4A515"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w:t>
      </w:r>
      <w:r>
        <w:rPr>
          <w:rFonts w:ascii="Calibri" w:eastAsia="Calibri" w:hAnsi="Calibri" w:cs="Calibri"/>
          <w:color w:val="000000"/>
          <w:szCs w:val="24"/>
        </w:rPr>
        <w:t> </w:t>
      </w:r>
      <w:r>
        <w:rPr>
          <w:rFonts w:ascii="Calibri" w:eastAsia="Calibri" w:hAnsi="Calibri" w:cs="Calibri"/>
          <w:color w:val="000000"/>
          <w:szCs w:val="24"/>
        </w:rPr>
        <w:t>Ghana - Artisanal and Small-scale Mining Formalization (P168002)</w:t>
      </w:r>
    </w:p>
    <w:p w14:paraId="6B2DF26A"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- Tanzania – Resilient Natural Resource Management for Tourism and Growth Project (P150523)</w:t>
      </w:r>
    </w:p>
    <w:p w14:paraId="5CB9B9E7"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- Kenya - Urban Support Program - (P156777)</w:t>
      </w:r>
    </w:p>
    <w:p w14:paraId="5C1DB440"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- Zambia – Mining and Environmental Remediation and Improvement Project (P154683)</w:t>
      </w:r>
    </w:p>
    <w:p w14:paraId="7A98D336" w14:textId="77777777" w:rsidR="0064440F" w:rsidRDefault="000603E8" w:rsidP="002E7662">
      <w:pPr>
        <w:widowControl w:val="0"/>
        <w:spacing w:after="0" w:line="240" w:lineRule="auto"/>
        <w:ind w:right="-504"/>
        <w:jc w:val="both"/>
        <w:rPr>
          <w:rFonts w:ascii="Calibri" w:eastAsia="Calibri" w:hAnsi="Calibri" w:cs="Calibri"/>
          <w:color w:val="000000"/>
          <w:szCs w:val="24"/>
        </w:rPr>
      </w:pPr>
      <w:r>
        <w:rPr>
          <w:rFonts w:ascii="Calibri" w:eastAsia="Calibri" w:hAnsi="Calibri" w:cs="Calibri"/>
          <w:color w:val="000000"/>
          <w:szCs w:val="24"/>
        </w:rPr>
        <w:t>- Senegal –Municipal Solid Waste Management Project (P161477)</w:t>
      </w:r>
    </w:p>
    <w:p w14:paraId="53EBC842" w14:textId="77777777" w:rsidR="0064440F" w:rsidRDefault="0064440F" w:rsidP="002E7662">
      <w:pPr>
        <w:widowControl w:val="0"/>
        <w:spacing w:after="0" w:line="240" w:lineRule="auto"/>
        <w:ind w:right="-504"/>
        <w:jc w:val="both"/>
        <w:rPr>
          <w:rFonts w:ascii="Calibri" w:eastAsia="Calibri" w:hAnsi="Calibri" w:cs="Calibri"/>
          <w:color w:val="000000"/>
          <w:szCs w:val="24"/>
        </w:rPr>
      </w:pPr>
    </w:p>
    <w:p w14:paraId="176E7FBE" w14:textId="08FB0472" w:rsidR="00431CA1" w:rsidRPr="00570754" w:rsidRDefault="000603E8" w:rsidP="00694C1D">
      <w:pPr>
        <w:pStyle w:val="ListParagraph"/>
        <w:widowControl w:val="0"/>
        <w:numPr>
          <w:ilvl w:val="0"/>
          <w:numId w:val="1"/>
        </w:numPr>
        <w:autoSpaceDE w:val="0"/>
        <w:autoSpaceDN w:val="0"/>
        <w:adjustRightInd w:val="0"/>
        <w:spacing w:after="0" w:line="240" w:lineRule="auto"/>
        <w:jc w:val="both"/>
        <w:rPr>
          <w:rFonts w:cstheme="minorHAnsi"/>
          <w:bCs/>
        </w:rPr>
      </w:pPr>
      <w:r w:rsidRPr="003431BF">
        <w:rPr>
          <w:rFonts w:ascii="Calibri" w:eastAsia="Calibri" w:hAnsi="Calibri" w:cs="Calibri"/>
          <w:color w:val="000000"/>
          <w:szCs w:val="24"/>
        </w:rPr>
        <w:t>Each pilot preparation is going to include review of existing E&amp;S due diligence and prepare a relevant instrument (ESIA/ESMP/SA), which will be approved by the Bank and publicly redisclosed to reflect the requirements of relevant ESSs.</w:t>
      </w:r>
    </w:p>
    <w:p w14:paraId="20E63C5E" w14:textId="77777777" w:rsidR="00570754" w:rsidRPr="003431BF" w:rsidRDefault="00570754" w:rsidP="008A20C9">
      <w:pPr>
        <w:pStyle w:val="ListParagraph"/>
        <w:widowControl w:val="0"/>
        <w:autoSpaceDE w:val="0"/>
        <w:autoSpaceDN w:val="0"/>
        <w:adjustRightInd w:val="0"/>
        <w:spacing w:after="0" w:line="240" w:lineRule="auto"/>
        <w:ind w:left="3"/>
        <w:jc w:val="both"/>
        <w:rPr>
          <w:rFonts w:cstheme="minorHAnsi"/>
          <w:bCs/>
        </w:rPr>
      </w:pPr>
    </w:p>
    <w:p w14:paraId="4C6E3DF3" w14:textId="77777777" w:rsidR="008A20C9" w:rsidRPr="009E1C99" w:rsidRDefault="008A20C9" w:rsidP="008A20C9">
      <w:pPr>
        <w:pStyle w:val="ListParagraph"/>
        <w:widowControl w:val="0"/>
        <w:numPr>
          <w:ilvl w:val="0"/>
          <w:numId w:val="1"/>
        </w:numPr>
        <w:autoSpaceDE w:val="0"/>
        <w:autoSpaceDN w:val="0"/>
        <w:adjustRightInd w:val="0"/>
        <w:spacing w:before="120" w:after="0" w:line="240" w:lineRule="auto"/>
        <w:jc w:val="both"/>
        <w:rPr>
          <w:rFonts w:cstheme="minorHAnsi"/>
          <w:bCs/>
        </w:rPr>
      </w:pPr>
      <w:r w:rsidRPr="009E1C99">
        <w:rPr>
          <w:rFonts w:cstheme="minorHAnsi"/>
          <w:b/>
          <w:bCs/>
        </w:rPr>
        <w:t>Gender</w:t>
      </w:r>
      <w:r w:rsidRPr="009E1C99">
        <w:rPr>
          <w:rFonts w:cstheme="minorHAnsi"/>
          <w:bCs/>
        </w:rPr>
        <w:t xml:space="preserve">. </w:t>
      </w:r>
      <w:r w:rsidRPr="009E1C99">
        <w:rPr>
          <w:rFonts w:cstheme="minorHAnsi"/>
        </w:rPr>
        <w:t>Women account for 40-50% of the total workforce in Africa.</w:t>
      </w:r>
      <w:r>
        <w:rPr>
          <w:rStyle w:val="FootnoteReference"/>
          <w:rFonts w:cstheme="minorHAnsi"/>
        </w:rPr>
        <w:footnoteReference w:id="23"/>
      </w:r>
      <w:r w:rsidRPr="009E1C99">
        <w:rPr>
          <w:rFonts w:cstheme="minorHAnsi"/>
        </w:rPr>
        <w:t xml:space="preserve"> Their role in </w:t>
      </w:r>
      <w:r w:rsidRPr="009E1C99">
        <w:rPr>
          <w:rFonts w:cstheme="minorHAnsi"/>
          <w:u w:val="single"/>
        </w:rPr>
        <w:t>ASM</w:t>
      </w:r>
      <w:r w:rsidRPr="009E1C99">
        <w:rPr>
          <w:rFonts w:cstheme="minorHAnsi"/>
        </w:rPr>
        <w:t xml:space="preserve"> is significant, as they are involved in the application of labor-intensive mining methods, processing</w:t>
      </w:r>
      <w:r>
        <w:rPr>
          <w:rStyle w:val="FootnoteReference"/>
          <w:rFonts w:cstheme="minorHAnsi"/>
        </w:rPr>
        <w:footnoteReference w:id="24"/>
      </w:r>
      <w:r w:rsidRPr="009E1C99">
        <w:rPr>
          <w:rFonts w:cstheme="minorHAnsi"/>
        </w:rPr>
        <w:t xml:space="preserve">, and provision of goods and services (e.g. food, cleaning, transporting dirt) to miners. Despite that, they do not have access or control over assets (e.g. land, licenses, data). In addition, legal and cultural discriminations coupled with domestic and care responsibilities, and lack of education, relegate women to passive participation, with no influence on key decision-making. Persistent gender inequalities and cultural norms prevent women from accessing finance, which prevents them from investing in mining equipment and technology required for businesses. </w:t>
      </w:r>
    </w:p>
    <w:p w14:paraId="3C4B840C" w14:textId="77777777" w:rsidR="008A20C9" w:rsidRPr="009E1C99" w:rsidRDefault="008A20C9" w:rsidP="008A20C9">
      <w:pPr>
        <w:pStyle w:val="ListParagraph"/>
        <w:rPr>
          <w:rFonts w:cstheme="minorHAnsi"/>
        </w:rPr>
      </w:pPr>
    </w:p>
    <w:p w14:paraId="381581FF" w14:textId="77777777" w:rsidR="008A20C9" w:rsidRPr="009E1C99" w:rsidRDefault="008A20C9" w:rsidP="008A20C9">
      <w:pPr>
        <w:pStyle w:val="ListParagraph"/>
        <w:widowControl w:val="0"/>
        <w:numPr>
          <w:ilvl w:val="0"/>
          <w:numId w:val="1"/>
        </w:numPr>
        <w:autoSpaceDE w:val="0"/>
        <w:autoSpaceDN w:val="0"/>
        <w:adjustRightInd w:val="0"/>
        <w:spacing w:before="120" w:after="0" w:line="240" w:lineRule="auto"/>
        <w:jc w:val="both"/>
        <w:rPr>
          <w:rFonts w:cstheme="minorHAnsi"/>
          <w:bCs/>
        </w:rPr>
      </w:pPr>
      <w:r w:rsidRPr="009E1C99">
        <w:rPr>
          <w:rFonts w:cstheme="minorHAnsi"/>
        </w:rPr>
        <w:t xml:space="preserve">Similar inequalities exist also in the </w:t>
      </w:r>
      <w:r w:rsidRPr="009E1C99">
        <w:rPr>
          <w:rFonts w:cstheme="minorHAnsi"/>
          <w:u w:val="single"/>
        </w:rPr>
        <w:t>waste</w:t>
      </w:r>
      <w:r w:rsidRPr="009E1C99">
        <w:rPr>
          <w:rFonts w:cstheme="minorHAnsi"/>
        </w:rPr>
        <w:t xml:space="preserve"> sector. While waste-pickers are generally considered a vulnerable sub-population, female waste-pickers are highly vulnerable. They lack formal education, marketable skills, access to information (e.g. safety measures, knowledge regarding technology), and have greater time restrictions due to household and child care compared to male waste-pickers. As a result, female waste-pickers tend to get less pay compared to males, rarely wear safety gear, and are likely to be </w:t>
      </w:r>
      <w:r w:rsidRPr="009E1C99">
        <w:rPr>
          <w:rFonts w:cstheme="minorHAnsi"/>
        </w:rPr>
        <w:lastRenderedPageBreak/>
        <w:t>disproportionately exposed to hazardous working conditions and waste. E-waste specifically affects women’s morbidity, mortality, and fertility, as well as the health of children.</w:t>
      </w:r>
    </w:p>
    <w:p w14:paraId="2C28F1F9" w14:textId="77777777" w:rsidR="008A20C9" w:rsidRPr="009E1C99" w:rsidRDefault="008A20C9" w:rsidP="008A20C9">
      <w:pPr>
        <w:pStyle w:val="ListParagraph"/>
        <w:rPr>
          <w:rFonts w:cstheme="minorHAnsi"/>
        </w:rPr>
      </w:pPr>
    </w:p>
    <w:p w14:paraId="39D7AB3C" w14:textId="77777777" w:rsidR="008A20C9" w:rsidRPr="009E1C99" w:rsidRDefault="008A20C9" w:rsidP="008A20C9">
      <w:pPr>
        <w:pStyle w:val="ListParagraph"/>
        <w:widowControl w:val="0"/>
        <w:numPr>
          <w:ilvl w:val="0"/>
          <w:numId w:val="1"/>
        </w:numPr>
        <w:autoSpaceDE w:val="0"/>
        <w:autoSpaceDN w:val="0"/>
        <w:adjustRightInd w:val="0"/>
        <w:spacing w:before="120" w:after="0" w:line="240" w:lineRule="auto"/>
        <w:jc w:val="both"/>
        <w:rPr>
          <w:rFonts w:cstheme="minorHAnsi"/>
          <w:bCs/>
        </w:rPr>
      </w:pPr>
      <w:r w:rsidRPr="009E1C99">
        <w:rPr>
          <w:rFonts w:cstheme="minorHAnsi"/>
        </w:rPr>
        <w:t>This project will provide opportunities for women to increase benefits and minimize health risks from participating in the above sectors. It will undertake gender analysis as part of the socio-economic assessment; will highlight best practices in integrating gender aspects in “empowerment” activities; and will help improve their livelihoods and scope of decision making. Specifically, under component 2, gender considerations will be integrated as part of the policy dialogue to build women’s capacity to actively participate and have a voice in key decision-making, while providing dialogue platforms that are inclusive and action-oriented. Under components 1 and 3, the project will address various gender gaps in access to information (e.g. on safety measures, adoption to cleaner technology, availability of training and other public programs) and opportunities for decent work terms and conditions.</w:t>
      </w:r>
    </w:p>
    <w:p w14:paraId="052767DB" w14:textId="17273CC9" w:rsidR="00431CA1" w:rsidRDefault="00431CA1" w:rsidP="002230F4">
      <w:pPr>
        <w:spacing w:after="0" w:line="240" w:lineRule="auto"/>
        <w:ind w:left="-691" w:right="-691"/>
      </w:pPr>
    </w:p>
    <w:p w14:paraId="5753A098" w14:textId="77777777" w:rsidR="008A20C9" w:rsidRDefault="008A20C9" w:rsidP="002230F4">
      <w:pPr>
        <w:spacing w:after="0" w:line="240" w:lineRule="auto"/>
        <w:ind w:left="-691" w:right="-691"/>
      </w:pPr>
    </w:p>
    <w:tbl>
      <w:tblPr>
        <w:tblStyle w:val="TableGrid"/>
        <w:tblW w:w="10800" w:type="dxa"/>
        <w:tblInd w:w="-7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00"/>
      </w:tblGrid>
      <w:tr w:rsidR="00B649D6" w14:paraId="3747E6D7" w14:textId="77777777" w:rsidTr="007E1A9B">
        <w:tc>
          <w:tcPr>
            <w:tcW w:w="10800" w:type="dxa"/>
          </w:tcPr>
          <w:p w14:paraId="53C7E924" w14:textId="77777777" w:rsidR="00C3601B" w:rsidRPr="002230F4" w:rsidRDefault="000603E8" w:rsidP="007E1A9B">
            <w:pPr>
              <w:keepNext/>
              <w:widowControl w:val="0"/>
              <w:autoSpaceDE w:val="0"/>
              <w:autoSpaceDN w:val="0"/>
              <w:adjustRightInd w:val="0"/>
              <w:rPr>
                <w:rFonts w:ascii="Calibri" w:eastAsia="Times New Roman" w:hAnsi="Calibri" w:cs="Arial"/>
                <w:b/>
                <w:color w:val="172D5F"/>
                <w:sz w:val="21"/>
                <w:szCs w:val="21"/>
              </w:rPr>
            </w:pPr>
            <w:r>
              <w:rPr>
                <w:rFonts w:ascii="Calibri" w:eastAsia="Calibri" w:hAnsi="Calibri" w:cs="Calibri"/>
                <w:b/>
                <w:color w:val="172D5F"/>
              </w:rPr>
              <w:t>E</w:t>
            </w:r>
            <w:r w:rsidRPr="00C3601B">
              <w:rPr>
                <w:rFonts w:ascii="Calibri" w:eastAsia="Calibri" w:hAnsi="Calibri" w:cs="Calibri"/>
                <w:b/>
                <w:color w:val="172D5F"/>
              </w:rPr>
              <w:t>. Implementation</w:t>
            </w:r>
          </w:p>
        </w:tc>
      </w:tr>
    </w:tbl>
    <w:p w14:paraId="5C6F9AFF" w14:textId="77777777" w:rsidR="00C3601B" w:rsidRDefault="00C3601B" w:rsidP="002230F4">
      <w:pPr>
        <w:spacing w:after="0" w:line="240" w:lineRule="auto"/>
        <w:ind w:left="-691" w:right="-691"/>
      </w:pPr>
    </w:p>
    <w:tbl>
      <w:tblPr>
        <w:tblStyle w:val="TableGrid4"/>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00"/>
      </w:tblGrid>
      <w:tr w:rsidR="00B649D6" w14:paraId="73F57F18" w14:textId="77777777" w:rsidTr="00C3601B">
        <w:tc>
          <w:tcPr>
            <w:tcW w:w="10800" w:type="dxa"/>
            <w:hideMark/>
          </w:tcPr>
          <w:p w14:paraId="409A211F" w14:textId="77777777" w:rsidR="00B6015C" w:rsidRPr="00B6015C" w:rsidRDefault="000603E8" w:rsidP="00B6015C">
            <w:pPr>
              <w:keepNext/>
              <w:widowControl w:val="0"/>
              <w:autoSpaceDE w:val="0"/>
              <w:autoSpaceDN w:val="0"/>
              <w:adjustRightInd w:val="0"/>
              <w:ind w:left="43"/>
              <w:rPr>
                <w:rFonts w:eastAsia="Times New Roman" w:cs="Arial"/>
                <w:color w:val="7F7F7F"/>
              </w:rPr>
            </w:pPr>
            <w:r w:rsidRPr="00B6015C">
              <w:rPr>
                <w:rFonts w:cs="Calibri"/>
                <w:color w:val="7F7F7F"/>
              </w:rPr>
              <w:t>Institutional and Implementation Arrangements</w:t>
            </w:r>
          </w:p>
        </w:tc>
      </w:tr>
    </w:tbl>
    <w:p w14:paraId="2C19BDF2" w14:textId="77777777" w:rsidR="00C3601B" w:rsidRDefault="00C3601B" w:rsidP="00C3601B">
      <w:pPr>
        <w:spacing w:after="0" w:line="240" w:lineRule="auto"/>
        <w:ind w:left="-691" w:right="-691"/>
      </w:pPr>
    </w:p>
    <w:p w14:paraId="67EF7E20" w14:textId="780DD613" w:rsidR="006E46E3" w:rsidRDefault="00DA444C" w:rsidP="006E46E3">
      <w:pPr>
        <w:pStyle w:val="ListParagraph"/>
        <w:widowControl w:val="0"/>
        <w:numPr>
          <w:ilvl w:val="0"/>
          <w:numId w:val="1"/>
        </w:numPr>
        <w:autoSpaceDE w:val="0"/>
        <w:autoSpaceDN w:val="0"/>
        <w:adjustRightInd w:val="0"/>
        <w:spacing w:after="0" w:line="240" w:lineRule="auto"/>
        <w:jc w:val="both"/>
        <w:rPr>
          <w:rFonts w:cstheme="minorHAnsi"/>
          <w:bCs/>
        </w:rPr>
      </w:pPr>
      <w:r w:rsidRPr="00736A41">
        <w:rPr>
          <w:rFonts w:cstheme="minorHAnsi"/>
          <w:bCs/>
        </w:rPr>
        <w:t xml:space="preserve">The institutional and implementation arrangements are represented in Figure 2. At the regional level, a </w:t>
      </w:r>
      <w:r w:rsidRPr="00736A41">
        <w:rPr>
          <w:rFonts w:cstheme="minorHAnsi"/>
          <w:b/>
          <w:bCs/>
        </w:rPr>
        <w:t>Project Steering Committee</w:t>
      </w:r>
      <w:r w:rsidRPr="00736A41">
        <w:rPr>
          <w:rFonts w:cstheme="minorHAnsi"/>
          <w:bCs/>
        </w:rPr>
        <w:t xml:space="preserve"> (PSC) will be established as an advisory mechanism to maximize synergies and support the successful design and implementation of the overall project. The PSC will serve as a forum for guidance and monitoring on project implementation and provide a high-level coordination on technical alignment and synergy among the project components and participating countries. The PSC will provide overall strategic guidance, support policy dialogue with countries for regional integration, coordinate cross-boundary interventions, facilitate resource mobilization, and assess the results and impacts of the project. The PSC will be chaired by the WBG and consist of other GEF Implementing Agencies (UNDP, UNEP, UNIDO, AfDB), GEF secretariat, OECD, and key partners who are leaders in the field (i.e. UNITAR, IGF, USEPA), representatives of civil society and participating Countries.</w:t>
      </w:r>
    </w:p>
    <w:p w14:paraId="45DA9070" w14:textId="77777777" w:rsidR="006E46E3" w:rsidRDefault="006E46E3" w:rsidP="006E46E3">
      <w:pPr>
        <w:pStyle w:val="ListParagraph"/>
        <w:widowControl w:val="0"/>
        <w:autoSpaceDE w:val="0"/>
        <w:autoSpaceDN w:val="0"/>
        <w:adjustRightInd w:val="0"/>
        <w:spacing w:after="0" w:line="240" w:lineRule="auto"/>
        <w:ind w:left="3"/>
        <w:jc w:val="both"/>
        <w:rPr>
          <w:rFonts w:cstheme="minorHAnsi"/>
          <w:bCs/>
        </w:rPr>
      </w:pPr>
    </w:p>
    <w:p w14:paraId="2CE7FBE2" w14:textId="77777777" w:rsidR="006E46E3" w:rsidRPr="006E46E3" w:rsidRDefault="00DA444C" w:rsidP="006E46E3">
      <w:pPr>
        <w:pStyle w:val="ListParagraph"/>
        <w:widowControl w:val="0"/>
        <w:numPr>
          <w:ilvl w:val="0"/>
          <w:numId w:val="1"/>
        </w:numPr>
        <w:autoSpaceDE w:val="0"/>
        <w:autoSpaceDN w:val="0"/>
        <w:adjustRightInd w:val="0"/>
        <w:spacing w:after="0" w:line="240" w:lineRule="auto"/>
        <w:jc w:val="both"/>
        <w:rPr>
          <w:rFonts w:cstheme="minorHAnsi"/>
          <w:bCs/>
        </w:rPr>
      </w:pPr>
      <w:r w:rsidRPr="006E46E3">
        <w:rPr>
          <w:rFonts w:cstheme="minorHAnsi"/>
          <w:bCs/>
        </w:rPr>
        <w:t xml:space="preserve">The project is supported by a regional platform for knowledge sharing and technology dissemination efforts (BETF - P166233). The regional knowledge platform will establish a coordination framework for the EHPMP with the participating countries, the regional partners, and other stakeholders to promote communication among project stakeholders through consultations at the national and regional levels. </w:t>
      </w:r>
      <w:r w:rsidRPr="006E46E3">
        <w:rPr>
          <w:rFonts w:cstheme="minorHAnsi"/>
        </w:rPr>
        <w:t xml:space="preserve">The purpose of the platform is to enable the coordination among stakeholders, monitor outcomes of national projects, support preparation of projects, and capture lessons learned and best practices from national projects.  EHPMP, as an umbrella project, ties in five country projects which tackle common chemicals management issues and share concerns of lack of effective solutions. </w:t>
      </w:r>
    </w:p>
    <w:p w14:paraId="14D424BB" w14:textId="77777777" w:rsidR="006E46E3" w:rsidRPr="006E46E3" w:rsidRDefault="006E46E3" w:rsidP="006E46E3">
      <w:pPr>
        <w:pStyle w:val="ListParagraph"/>
        <w:rPr>
          <w:rFonts w:cstheme="minorHAnsi"/>
          <w:bCs/>
        </w:rPr>
      </w:pPr>
    </w:p>
    <w:p w14:paraId="7034F67E" w14:textId="2C114099" w:rsidR="00DA444C" w:rsidRPr="006E46E3" w:rsidRDefault="00DA444C" w:rsidP="006E46E3">
      <w:pPr>
        <w:pStyle w:val="ListParagraph"/>
        <w:widowControl w:val="0"/>
        <w:numPr>
          <w:ilvl w:val="0"/>
          <w:numId w:val="1"/>
        </w:numPr>
        <w:autoSpaceDE w:val="0"/>
        <w:autoSpaceDN w:val="0"/>
        <w:adjustRightInd w:val="0"/>
        <w:spacing w:after="0" w:line="240" w:lineRule="auto"/>
        <w:jc w:val="both"/>
        <w:rPr>
          <w:rFonts w:cstheme="minorHAnsi"/>
          <w:bCs/>
        </w:rPr>
      </w:pPr>
      <w:r w:rsidRPr="006E46E3">
        <w:rPr>
          <w:rFonts w:cstheme="minorHAnsi"/>
          <w:bCs/>
        </w:rPr>
        <w:t xml:space="preserve">In addition, each participating country will have a </w:t>
      </w:r>
      <w:r w:rsidRPr="006E46E3">
        <w:rPr>
          <w:rFonts w:cstheme="minorHAnsi"/>
          <w:b/>
          <w:bCs/>
        </w:rPr>
        <w:t>National Steering Committee (NSC)</w:t>
      </w:r>
      <w:r w:rsidRPr="006E46E3">
        <w:rPr>
          <w:rFonts w:cstheme="minorHAnsi"/>
          <w:bCs/>
        </w:rPr>
        <w:t xml:space="preserve">, and a </w:t>
      </w:r>
      <w:r w:rsidRPr="006E46E3">
        <w:rPr>
          <w:rFonts w:cstheme="minorHAnsi"/>
          <w:b/>
          <w:bCs/>
        </w:rPr>
        <w:t>Project Coordination Unit (PCU)</w:t>
      </w:r>
      <w:r w:rsidRPr="006E46E3">
        <w:rPr>
          <w:rFonts w:cstheme="minorHAnsi"/>
          <w:bCs/>
        </w:rPr>
        <w:t xml:space="preserve">. The NSC will include the key stakeholders at the national level. NSC functions are to: i) provide guidance on national policy matters and strategic decisions; (ii) approve annual work plans and quarterly progress reports; and (iii) coordinate with the PSC and regional knowledge platform to facilitate knowledge sharing. The EHPMP will be implemented by the national PCU in each country, embedded within the National Focal Point Ministries (NFPM). The PCU in each participating country supports the implementation at the national level and coordination with the EHPMP and other regional </w:t>
      </w:r>
      <w:r w:rsidRPr="006E46E3">
        <w:rPr>
          <w:rFonts w:cstheme="minorHAnsi"/>
          <w:bCs/>
        </w:rPr>
        <w:lastRenderedPageBreak/>
        <w:t>entities. Each PCU will prepare annual work plans and budgets (AWPBs), manage procurement, and provide support to counterpart institutions in the implementation of activities. Each PCU comprises the following necessary staff: (a) Project Coordinator; (b) Institutional Development Specialist; (c) Communication Specialist; (d) M&amp;E and Reporting Specialist; (e) Environmental and Social Safeguards Specialist; (f) Procurement Specialist; and (g) FM Specialist.</w:t>
      </w:r>
    </w:p>
    <w:p w14:paraId="3AE12647" w14:textId="77777777" w:rsidR="00DA444C" w:rsidRPr="002F3D6A" w:rsidRDefault="00DA444C" w:rsidP="00DA444C">
      <w:pPr>
        <w:pStyle w:val="ListParagraph"/>
        <w:spacing w:before="120"/>
        <w:ind w:left="3"/>
        <w:jc w:val="both"/>
        <w:rPr>
          <w:rFonts w:cstheme="minorHAnsi"/>
          <w:bCs/>
        </w:rPr>
      </w:pPr>
    </w:p>
    <w:p w14:paraId="7E5D55EE" w14:textId="77777777" w:rsidR="00DA444C" w:rsidRDefault="00DA444C" w:rsidP="00DA444C">
      <w:pPr>
        <w:jc w:val="center"/>
        <w:rPr>
          <w:rFonts w:cstheme="minorHAnsi"/>
          <w:bCs/>
        </w:rPr>
      </w:pPr>
      <w:r>
        <w:rPr>
          <w:rFonts w:cstheme="minorHAnsi"/>
          <w:bCs/>
          <w:noProof/>
        </w:rPr>
        <w:drawing>
          <wp:inline distT="0" distB="0" distL="0" distR="0" wp14:anchorId="7BE1F2AD" wp14:editId="2627E24B">
            <wp:extent cx="5292598" cy="3123643"/>
            <wp:effectExtent l="0" t="0" r="3810" b="63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93076"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324847" cy="3142676"/>
                    </a:xfrm>
                    <a:prstGeom prst="rect">
                      <a:avLst/>
                    </a:prstGeom>
                    <a:noFill/>
                  </pic:spPr>
                </pic:pic>
              </a:graphicData>
            </a:graphic>
          </wp:inline>
        </w:drawing>
      </w:r>
    </w:p>
    <w:p w14:paraId="3FC8228B" w14:textId="77777777" w:rsidR="00DA444C" w:rsidRPr="006D5E44" w:rsidRDefault="00DA444C" w:rsidP="00DA444C">
      <w:pPr>
        <w:jc w:val="center"/>
        <w:rPr>
          <w:rFonts w:cstheme="minorHAnsi"/>
          <w:bCs/>
          <w:i/>
        </w:rPr>
      </w:pPr>
      <w:r w:rsidRPr="006D5E44">
        <w:rPr>
          <w:rFonts w:cstheme="minorHAnsi"/>
          <w:b/>
          <w:bCs/>
          <w:i/>
        </w:rPr>
        <w:t xml:space="preserve">Figure </w:t>
      </w:r>
      <w:r>
        <w:rPr>
          <w:rFonts w:cstheme="minorHAnsi"/>
          <w:b/>
          <w:bCs/>
          <w:i/>
        </w:rPr>
        <w:t>2</w:t>
      </w:r>
      <w:r w:rsidRPr="006D5E44">
        <w:rPr>
          <w:rFonts w:cstheme="minorHAnsi"/>
          <w:b/>
          <w:bCs/>
          <w:i/>
        </w:rPr>
        <w:t>.</w:t>
      </w:r>
      <w:r w:rsidRPr="006D5E44">
        <w:rPr>
          <w:rFonts w:cstheme="minorHAnsi"/>
          <w:bCs/>
          <w:i/>
        </w:rPr>
        <w:t xml:space="preserve"> Implementation Arrangements.</w:t>
      </w:r>
    </w:p>
    <w:p w14:paraId="0925D075" w14:textId="70C96A81" w:rsidR="00CC0A9A" w:rsidRDefault="000603E8" w:rsidP="00932BDB">
      <w:pPr>
        <w:spacing w:after="0" w:line="240" w:lineRule="auto"/>
        <w:ind w:left="-691" w:right="-691"/>
        <w:sectPr w:rsidR="00CC0A9A" w:rsidSect="008D2AF0">
          <w:type w:val="continuous"/>
          <w:pgSz w:w="12240" w:h="15840"/>
          <w:pgMar w:top="1440" w:right="1440" w:bottom="1440" w:left="1440" w:header="720" w:footer="720" w:gutter="0"/>
          <w:cols w:space="720"/>
          <w:docGrid w:linePitch="360"/>
        </w:sectPr>
      </w:pPr>
      <w:r>
        <w:rPr>
          <w:noProof/>
        </w:rPr>
        <mc:AlternateContent>
          <mc:Choice Requires="wps">
            <w:drawing>
              <wp:anchor distT="0" distB="0" distL="114300" distR="114300" simplePos="0" relativeHeight="251666432" behindDoc="0" locked="0" layoutInCell="1" allowOverlap="1" wp14:anchorId="7BD9EF1A" wp14:editId="72B6C4A2">
                <wp:simplePos x="0" y="0"/>
                <wp:positionH relativeFrom="column">
                  <wp:posOffset>-932977</wp:posOffset>
                </wp:positionH>
                <wp:positionV relativeFrom="paragraph">
                  <wp:posOffset>170180</wp:posOffset>
                </wp:positionV>
                <wp:extent cx="7799705" cy="0"/>
                <wp:effectExtent l="0" t="0" r="10795" b="19050"/>
                <wp:wrapNone/>
                <wp:docPr id="27" name="Straight Connector 27"/>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7" o:spid="_x0000_s1028" style="mso-width-percent:0;mso-width-relative:margin;mso-wrap-distance-bottom:0;mso-wrap-distance-left:9pt;mso-wrap-distance-right:9pt;mso-wrap-distance-top:0;mso-wrap-style:square;position:absolute;visibility:visible;z-index:251667456" from="-73.45pt,13.4pt" to="540.7pt,13.4pt" strokecolor="gray">
                <v:stroke joinstyle="miter" dashstyle="dash" opacity="26214f"/>
              </v:line>
            </w:pict>
          </mc:Fallback>
        </mc:AlternateContent>
      </w:r>
      <w:sdt>
        <w:sdtPr>
          <w:id w:val="397980658"/>
          <w:lock w:val="sdtContentLocked"/>
          <w:placeholder>
            <w:docPart w:val="07C010762DC94CE9AF0A17E989FB040D"/>
          </w:placeholder>
          <w:showingPlcHdr/>
        </w:sdtPr>
        <w:sdtEndPr/>
        <w:sdtContent>
          <w:r w:rsidRPr="00C30247">
            <w:rPr>
              <w:rFonts w:ascii="Calibri" w:eastAsia="Calibri" w:hAnsi="Calibri" w:cs="Calibri"/>
              <w:color w:val="FFFFFF" w:themeColor="background1"/>
            </w:rPr>
            <w:t>.</w:t>
          </w:r>
        </w:sdtContent>
      </w:sdt>
    </w:p>
    <w:sdt>
      <w:sdtPr>
        <w:tag w:val="OPS_CORE_DATA_BLOCK"/>
        <w:id w:val="832898286"/>
        <w:lock w:val="sdtContentLocked"/>
        <w:placeholder>
          <w:docPart w:val="DefaultPlaceholder_22675703"/>
        </w:placeholder>
        <w:group/>
      </w:sdtPr>
      <w:sdtEndPr/>
      <w:sdtContent>
        <w:sdt>
          <w:sdtPr>
            <w:tag w:val="OPS_CORE_SECTION_START_4"/>
            <w:id w:val="132998864"/>
            <w:lock w:val="sdtContentLocked"/>
            <w:placeholder>
              <w:docPart w:val="33E9DF55CF9B4BC1A21120EF32B66D2C"/>
            </w:placeholder>
          </w:sdtPr>
          <w:sdtEndPr/>
          <w:sdtContent>
            <w:p w14:paraId="0ABAC264" w14:textId="77777777" w:rsidR="00CC0A9A" w:rsidRDefault="000603E8" w:rsidP="00C82173">
              <w:pPr>
                <w:spacing w:after="0" w:line="240" w:lineRule="auto"/>
                <w:ind w:left="-691" w:right="-691"/>
              </w:pPr>
              <w:r w:rsidRPr="00680E9D">
                <w:rPr>
                  <w:color w:val="FFFFFF" w:themeColor="background1"/>
                </w:rPr>
                <w:t xml:space="preserve"> </w:t>
              </w:r>
            </w:p>
          </w:sdtContent>
        </w:sdt>
        <w:p w14:paraId="39C03E69" w14:textId="77777777" w:rsidR="00CC0A9A" w:rsidRDefault="00CC0A9A" w:rsidP="009F33F2">
          <w:pPr>
            <w:spacing w:after="0" w:line="14" w:lineRule="exact"/>
            <w:ind w:left="-691" w:right="-691"/>
          </w:pPr>
        </w:p>
        <w:tbl>
          <w:tblPr>
            <w:tblStyle w:val="TableGrid35"/>
            <w:tblW w:w="10800" w:type="dxa"/>
            <w:tblInd w:w="-750" w:type="dxa"/>
            <w:shd w:val="clear" w:color="auto" w:fill="F7F7F7"/>
            <w:tblLayout w:type="fixed"/>
            <w:tblLook w:val="04A0" w:firstRow="1" w:lastRow="0" w:firstColumn="1" w:lastColumn="0" w:noHBand="0" w:noVBand="1"/>
          </w:tblPr>
          <w:tblGrid>
            <w:gridCol w:w="10800"/>
          </w:tblGrid>
          <w:tr w:rsidR="00B649D6" w14:paraId="38E8358D" w14:textId="77777777" w:rsidTr="00C52DA8">
            <w:trPr>
              <w:trHeight w:val="378"/>
            </w:trPr>
            <w:tc>
              <w:tcPr>
                <w:tcW w:w="10800" w:type="dxa"/>
                <w:tcBorders>
                  <w:top w:val="nil"/>
                  <w:left w:val="single" w:sz="24" w:space="0" w:color="BFBFBF"/>
                  <w:bottom w:val="nil"/>
                  <w:right w:val="nil"/>
                </w:tcBorders>
                <w:shd w:val="clear" w:color="auto" w:fill="F2F2F2"/>
                <w:vAlign w:val="center"/>
                <w:hideMark/>
              </w:tcPr>
              <w:p w14:paraId="1F2711F2" w14:textId="77777777" w:rsidR="00C52DA8" w:rsidRDefault="000603E8" w:rsidP="008437E6">
                <w:pPr>
                  <w:keepNext/>
                  <w:rPr>
                    <w:rFonts w:eastAsia="Times New Roman"/>
                  </w:rPr>
                </w:pPr>
                <w:r w:rsidRPr="00EC2C3B">
                  <w:rPr>
                    <w:b/>
                    <w:bCs/>
                  </w:rPr>
                  <w:t>CONTACT POINT</w:t>
                </w:r>
              </w:p>
            </w:tc>
          </w:tr>
        </w:tbl>
        <w:p w14:paraId="3F5B2462" w14:textId="77777777" w:rsidR="00A23AC8" w:rsidRPr="00227066" w:rsidRDefault="00A23AC8" w:rsidP="00ED6D99">
          <w:pPr>
            <w:shd w:val="clear" w:color="auto" w:fill="F7F7F7"/>
            <w:spacing w:after="0" w:line="240" w:lineRule="auto"/>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B649D6" w14:paraId="70D3CFFC" w14:textId="77777777" w:rsidTr="00C52DA8">
            <w:trPr>
              <w:trHeight w:val="288"/>
            </w:trPr>
            <w:tc>
              <w:tcPr>
                <w:tcW w:w="10800" w:type="dxa"/>
                <w:shd w:val="clear" w:color="auto" w:fill="F7F7F7"/>
                <w:vAlign w:val="center"/>
              </w:tcPr>
              <w:p w14:paraId="268FAC5A" w14:textId="77777777" w:rsidR="008D2AF0" w:rsidRPr="00EC2C3B" w:rsidRDefault="000603E8" w:rsidP="008D2AF0">
                <w:pPr>
                  <w:rPr>
                    <w:b/>
                    <w:bCs/>
                  </w:rPr>
                </w:pPr>
                <w:r w:rsidRPr="00EC2C3B">
                  <w:rPr>
                    <w:b/>
                    <w:color w:val="172D5F"/>
                  </w:rPr>
                  <w:t xml:space="preserve">  </w:t>
                </w:r>
                <w:r w:rsidRPr="00EC2C3B">
                  <w:rPr>
                    <w:rFonts w:ascii="Calibri" w:eastAsia="Times New Roman" w:hAnsi="Calibri"/>
                    <w:b/>
                    <w:color w:val="172D5F"/>
                  </w:rPr>
                  <w:t>World Bank</w:t>
                </w:r>
              </w:p>
            </w:tc>
          </w:tr>
          <w:tr w:rsidR="00B649D6" w14:paraId="6EF53EEE" w14:textId="77777777" w:rsidTr="00C52DA8">
            <w:trPr>
              <w:trHeight w:val="576"/>
            </w:trPr>
            <w:tc>
              <w:tcPr>
                <w:tcW w:w="10800" w:type="dxa"/>
                <w:shd w:val="clear" w:color="auto" w:fill="F7F7F7"/>
                <w:vAlign w:val="center"/>
              </w:tcPr>
              <w:tbl>
                <w:tblPr>
                  <w:tblStyle w:val="TableGrid35"/>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980"/>
                </w:tblGrid>
                <w:tr w:rsidR="00B649D6" w14:paraId="1258E22B" w14:textId="77777777" w:rsidTr="00CA5FCF">
                  <w:trPr>
                    <w:trHeight w:val="297"/>
                  </w:trPr>
                  <w:tc>
                    <w:tcPr>
                      <w:tcW w:w="10980" w:type="dxa"/>
                      <w:vAlign w:val="center"/>
                    </w:tcPr>
                    <w:p w14:paraId="08DEE7D8" w14:textId="77777777" w:rsidR="008D2AF0" w:rsidRPr="00BF0F36" w:rsidRDefault="008D2AF0" w:rsidP="008D2AF0">
                      <w:pPr>
                        <w:rPr>
                          <w:color w:val="7F7F7F" w:themeColor="text1" w:themeTint="80"/>
                          <w:sz w:val="20"/>
                          <w:szCs w:val="20"/>
                        </w:rPr>
                      </w:pPr>
                    </w:p>
                    <w:tbl>
                      <w:tblPr>
                        <w:tblStyle w:val="TableGrid35"/>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B649D6" w14:paraId="0993B963" w14:textId="77777777" w:rsidTr="00CA5FCF">
                        <w:trPr>
                          <w:trHeight w:val="135"/>
                        </w:trPr>
                        <w:tc>
                          <w:tcPr>
                            <w:tcW w:w="10602" w:type="dxa"/>
                            <w:vAlign w:val="center"/>
                          </w:tcPr>
                          <w:p w14:paraId="6A70EF28" w14:textId="77777777" w:rsidR="008D2AF0" w:rsidRPr="00EC2C3B" w:rsidRDefault="000603E8" w:rsidP="008D2AF0">
                            <w:pPr>
                              <w:rPr>
                                <w:szCs w:val="18"/>
                              </w:rPr>
                            </w:pPr>
                            <w:r w:rsidRPr="00EC2C3B">
                              <w:rPr>
                                <w:noProof/>
                                <w:szCs w:val="18"/>
                              </w:rPr>
                              <w:t>Abdelaziz Lagnaoui</w:t>
                            </w:r>
                          </w:p>
                        </w:tc>
                      </w:tr>
                      <w:tr w:rsidR="00B649D6" w14:paraId="249B9705" w14:textId="77777777" w:rsidTr="00CA5FCF">
                        <w:trPr>
                          <w:trHeight w:val="180"/>
                        </w:trPr>
                        <w:tc>
                          <w:tcPr>
                            <w:tcW w:w="10602" w:type="dxa"/>
                            <w:vAlign w:val="center"/>
                          </w:tcPr>
                          <w:p w14:paraId="033BB501" w14:textId="77777777" w:rsidR="008D2AF0" w:rsidRPr="00EC2C3B" w:rsidRDefault="000603E8" w:rsidP="008D2AF0">
                            <w:pPr>
                              <w:rPr>
                                <w:szCs w:val="18"/>
                              </w:rPr>
                            </w:pPr>
                            <w:r w:rsidRPr="00EC2C3B">
                              <w:rPr>
                                <w:noProof/>
                                <w:szCs w:val="18"/>
                              </w:rPr>
                              <w:t>Lead Environmental Specialist</w:t>
                            </w:r>
                          </w:p>
                        </w:tc>
                      </w:tr>
                    </w:tbl>
                    <w:p w14:paraId="7FFD625F" w14:textId="77777777" w:rsidR="008D2AF0" w:rsidRPr="00ED50A9" w:rsidRDefault="008D2AF0" w:rsidP="008D2AF0">
                      <w:pPr>
                        <w:spacing w:line="20" w:lineRule="exact"/>
                        <w:rPr>
                          <w:color w:val="7F7F7F" w:themeColor="text1" w:themeTint="80"/>
                          <w:sz w:val="20"/>
                          <w:szCs w:val="20"/>
                        </w:rPr>
                      </w:pPr>
                    </w:p>
                    <w:p w14:paraId="36B3D943" w14:textId="77777777" w:rsidR="008D2AF0" w:rsidRPr="00BF0F36" w:rsidRDefault="008D2AF0" w:rsidP="008D2AF0">
                      <w:pPr>
                        <w:rPr>
                          <w:color w:val="7F7F7F" w:themeColor="text1" w:themeTint="80"/>
                          <w:sz w:val="20"/>
                          <w:szCs w:val="20"/>
                        </w:rPr>
                      </w:pPr>
                    </w:p>
                    <w:tbl>
                      <w:tblPr>
                        <w:tblStyle w:val="TableGrid35"/>
                        <w:tblW w:w="10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Pr>
                      <w:tblGrid>
                        <w:gridCol w:w="10602"/>
                      </w:tblGrid>
                      <w:tr w:rsidR="00B649D6" w14:paraId="79732DB5" w14:textId="77777777" w:rsidTr="00CA5FCF">
                        <w:trPr>
                          <w:trHeight w:val="135"/>
                        </w:trPr>
                        <w:tc>
                          <w:tcPr>
                            <w:tcW w:w="10602" w:type="dxa"/>
                            <w:vAlign w:val="center"/>
                          </w:tcPr>
                          <w:p w14:paraId="2CA2B7D5" w14:textId="77777777" w:rsidR="008D2AF0" w:rsidRPr="00EC2C3B" w:rsidRDefault="000603E8" w:rsidP="008D2AF0">
                            <w:pPr>
                              <w:rPr>
                                <w:szCs w:val="18"/>
                              </w:rPr>
                            </w:pPr>
                            <w:r w:rsidRPr="00EC2C3B">
                              <w:rPr>
                                <w:noProof/>
                                <w:szCs w:val="18"/>
                              </w:rPr>
                              <w:t>Ruxandra Maria Floroiu</w:t>
                            </w:r>
                          </w:p>
                        </w:tc>
                      </w:tr>
                      <w:tr w:rsidR="00B649D6" w14:paraId="639325EC" w14:textId="77777777" w:rsidTr="00CA5FCF">
                        <w:trPr>
                          <w:trHeight w:val="180"/>
                        </w:trPr>
                        <w:tc>
                          <w:tcPr>
                            <w:tcW w:w="10602" w:type="dxa"/>
                            <w:vAlign w:val="center"/>
                          </w:tcPr>
                          <w:p w14:paraId="52AD75F5" w14:textId="77777777" w:rsidR="008D2AF0" w:rsidRPr="00EC2C3B" w:rsidRDefault="000603E8" w:rsidP="008D2AF0">
                            <w:pPr>
                              <w:rPr>
                                <w:szCs w:val="18"/>
                              </w:rPr>
                            </w:pPr>
                            <w:r w:rsidRPr="00EC2C3B">
                              <w:rPr>
                                <w:noProof/>
                                <w:szCs w:val="18"/>
                              </w:rPr>
                              <w:t>Lead Environmental Specialist</w:t>
                            </w:r>
                          </w:p>
                        </w:tc>
                      </w:tr>
                    </w:tbl>
                    <w:p w14:paraId="1F22BA7C" w14:textId="77777777" w:rsidR="008D2AF0" w:rsidRPr="00ED50A9" w:rsidRDefault="008D2AF0" w:rsidP="008D2AF0">
                      <w:pPr>
                        <w:spacing w:line="20" w:lineRule="exact"/>
                        <w:rPr>
                          <w:color w:val="7F7F7F" w:themeColor="text1" w:themeTint="80"/>
                          <w:sz w:val="20"/>
                          <w:szCs w:val="20"/>
                        </w:rPr>
                      </w:pPr>
                    </w:p>
                  </w:tc>
                </w:tr>
              </w:tbl>
              <w:p w14:paraId="76E94B28" w14:textId="77777777" w:rsidR="008D2AF0" w:rsidRDefault="008D2AF0" w:rsidP="008D2AF0">
                <w:pPr>
                  <w:rPr>
                    <w:b/>
                    <w:color w:val="172D5F"/>
                    <w:sz w:val="20"/>
                    <w:szCs w:val="20"/>
                  </w:rPr>
                </w:pPr>
              </w:p>
            </w:tc>
          </w:tr>
          <w:tr w:rsidR="00B649D6" w14:paraId="22A34FAE" w14:textId="77777777" w:rsidTr="00C52DA8">
            <w:trPr>
              <w:trHeight w:val="117"/>
            </w:trPr>
            <w:tc>
              <w:tcPr>
                <w:tcW w:w="10800" w:type="dxa"/>
                <w:shd w:val="clear" w:color="auto" w:fill="F7F7F7"/>
                <w:vAlign w:val="center"/>
              </w:tcPr>
              <w:p w14:paraId="517C24F9" w14:textId="77777777" w:rsidR="008D2AF0" w:rsidRDefault="008D2AF0" w:rsidP="008D2AF0">
                <w:pPr>
                  <w:rPr>
                    <w:sz w:val="18"/>
                    <w:szCs w:val="18"/>
                  </w:rPr>
                </w:pPr>
              </w:p>
            </w:tc>
          </w:tr>
          <w:tr w:rsidR="00B649D6" w14:paraId="7382892D" w14:textId="77777777" w:rsidTr="00C52DA8">
            <w:trPr>
              <w:trHeight w:val="432"/>
            </w:trPr>
            <w:tc>
              <w:tcPr>
                <w:tcW w:w="10800" w:type="dxa"/>
                <w:shd w:val="clear" w:color="auto" w:fill="F7F7F7"/>
                <w:vAlign w:val="center"/>
              </w:tcPr>
              <w:p w14:paraId="6E349D46" w14:textId="77777777" w:rsidR="008D2AF0" w:rsidRPr="00EC2C3B" w:rsidRDefault="000603E8" w:rsidP="008D2AF0">
                <w:pPr>
                  <w:rPr>
                    <w:b/>
                    <w:color w:val="172D5F"/>
                  </w:rPr>
                </w:pPr>
                <w:r w:rsidRPr="00EC2C3B">
                  <w:rPr>
                    <w:b/>
                    <w:color w:val="172D5F"/>
                  </w:rPr>
                  <w:t xml:space="preserve">  Borrower/Client/Recipient</w:t>
                </w:r>
              </w:p>
            </w:tc>
          </w:tr>
          <w:tr w:rsidR="00B649D6" w14:paraId="50B260EC" w14:textId="77777777" w:rsidTr="00C52DA8">
            <w:trPr>
              <w:trHeight w:val="576"/>
            </w:trPr>
            <w:tc>
              <w:tcPr>
                <w:tcW w:w="10800" w:type="dxa"/>
                <w:shd w:val="clear" w:color="auto" w:fill="F7F7F7"/>
                <w:vAlign w:val="center"/>
              </w:tcPr>
              <w:p w14:paraId="71D58233"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7EDA5D7E" w14:textId="77777777" w:rsidTr="008D2AF0">
                  <w:trPr>
                    <w:trHeight w:val="288"/>
                  </w:trPr>
                  <w:tc>
                    <w:tcPr>
                      <w:tcW w:w="10975" w:type="dxa"/>
                      <w:vAlign w:val="center"/>
                    </w:tcPr>
                    <w:p w14:paraId="26F0CC4D" w14:textId="77777777" w:rsidR="008D2AF0" w:rsidRPr="00EC2C3B" w:rsidRDefault="000603E8" w:rsidP="008D2AF0">
                      <w:pPr>
                        <w:rPr>
                          <w:szCs w:val="18"/>
                        </w:rPr>
                      </w:pPr>
                      <w:r w:rsidRPr="00EC2C3B">
                        <w:rPr>
                          <w:noProof/>
                          <w:szCs w:val="18"/>
                        </w:rPr>
                        <w:t>Republic of Kenya</w:t>
                      </w:r>
                    </w:p>
                  </w:tc>
                </w:tr>
                <w:tr w:rsidR="00B649D6" w14:paraId="61F60543" w14:textId="77777777" w:rsidTr="008D2AF0">
                  <w:trPr>
                    <w:trHeight w:val="288"/>
                  </w:trPr>
                  <w:tc>
                    <w:tcPr>
                      <w:tcW w:w="10975" w:type="dxa"/>
                      <w:vAlign w:val="center"/>
                    </w:tcPr>
                    <w:p w14:paraId="1A419B78" w14:textId="77777777" w:rsidR="008D2AF0" w:rsidRPr="00EC2C3B" w:rsidRDefault="000603E8" w:rsidP="008D2AF0">
                      <w:pPr>
                        <w:rPr>
                          <w:szCs w:val="18"/>
                        </w:rPr>
                      </w:pPr>
                      <w:r w:rsidRPr="00EC2C3B">
                        <w:rPr>
                          <w:noProof/>
                          <w:szCs w:val="18"/>
                        </w:rPr>
                        <w:t>Betty C. Maina</w:t>
                      </w:r>
                    </w:p>
                  </w:tc>
                </w:tr>
                <w:tr w:rsidR="00B649D6" w14:paraId="20620883" w14:textId="77777777" w:rsidTr="008D2AF0">
                  <w:trPr>
                    <w:trHeight w:val="288"/>
                  </w:trPr>
                  <w:tc>
                    <w:tcPr>
                      <w:tcW w:w="10975" w:type="dxa"/>
                      <w:vAlign w:val="center"/>
                    </w:tcPr>
                    <w:p w14:paraId="3634BDCC" w14:textId="77777777" w:rsidR="008D2AF0" w:rsidRPr="00EC2C3B" w:rsidRDefault="000603E8" w:rsidP="008D2AF0">
                      <w:pPr>
                        <w:rPr>
                          <w:szCs w:val="18"/>
                        </w:rPr>
                      </w:pPr>
                      <w:r w:rsidRPr="00EC2C3B">
                        <w:rPr>
                          <w:noProof/>
                          <w:szCs w:val="18"/>
                        </w:rPr>
                        <w:t>Principal Secretary, Ministry of Environment and Forestry</w:t>
                      </w:r>
                    </w:p>
                  </w:tc>
                </w:tr>
                <w:tr w:rsidR="00B649D6" w14:paraId="0AF2BCD2" w14:textId="77777777" w:rsidTr="008D2AF0">
                  <w:trPr>
                    <w:trHeight w:val="288"/>
                  </w:trPr>
                  <w:tc>
                    <w:tcPr>
                      <w:tcW w:w="10975" w:type="dxa"/>
                      <w:vAlign w:val="center"/>
                    </w:tcPr>
                    <w:p w14:paraId="6BED556A" w14:textId="77777777" w:rsidR="008D2AF0" w:rsidRPr="00EC2C3B" w:rsidRDefault="000603E8" w:rsidP="008D2AF0">
                      <w:pPr>
                        <w:rPr>
                          <w:szCs w:val="18"/>
                        </w:rPr>
                      </w:pPr>
                      <w:r w:rsidRPr="00EC2C3B">
                        <w:rPr>
                          <w:noProof/>
                          <w:szCs w:val="18"/>
                        </w:rPr>
                        <w:t>psoffice@environment.go.ke</w:t>
                      </w:r>
                    </w:p>
                  </w:tc>
                </w:tr>
              </w:tbl>
              <w:p w14:paraId="1D427AC4" w14:textId="77777777" w:rsidR="008D2AF0" w:rsidRPr="00E53FF0" w:rsidRDefault="008D2AF0" w:rsidP="008D2AF0">
                <w:pPr>
                  <w:rPr>
                    <w:b/>
                    <w:color w:val="172D5F"/>
                    <w:sz w:val="20"/>
                    <w:szCs w:val="20"/>
                  </w:rPr>
                </w:pPr>
              </w:p>
              <w:p w14:paraId="1A6C66B4"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40833A8A" w14:textId="77777777" w:rsidTr="008D2AF0">
                  <w:trPr>
                    <w:trHeight w:val="288"/>
                  </w:trPr>
                  <w:tc>
                    <w:tcPr>
                      <w:tcW w:w="10975" w:type="dxa"/>
                      <w:vAlign w:val="center"/>
                    </w:tcPr>
                    <w:p w14:paraId="4BACD564" w14:textId="77777777" w:rsidR="008D2AF0" w:rsidRPr="00EC2C3B" w:rsidRDefault="000603E8" w:rsidP="008D2AF0">
                      <w:pPr>
                        <w:rPr>
                          <w:szCs w:val="18"/>
                        </w:rPr>
                      </w:pPr>
                      <w:r w:rsidRPr="00EC2C3B">
                        <w:rPr>
                          <w:noProof/>
                          <w:szCs w:val="18"/>
                        </w:rPr>
                        <w:t>Republic of Ghana</w:t>
                      </w:r>
                    </w:p>
                  </w:tc>
                </w:tr>
                <w:tr w:rsidR="00B649D6" w14:paraId="3F0B39B7" w14:textId="77777777" w:rsidTr="008D2AF0">
                  <w:trPr>
                    <w:trHeight w:val="288"/>
                  </w:trPr>
                  <w:tc>
                    <w:tcPr>
                      <w:tcW w:w="10975" w:type="dxa"/>
                      <w:vAlign w:val="center"/>
                    </w:tcPr>
                    <w:p w14:paraId="0569987A" w14:textId="77777777" w:rsidR="008D2AF0" w:rsidRPr="00EC2C3B" w:rsidRDefault="000603E8" w:rsidP="008D2AF0">
                      <w:pPr>
                        <w:rPr>
                          <w:szCs w:val="18"/>
                        </w:rPr>
                      </w:pPr>
                      <w:r w:rsidRPr="00EC2C3B">
                        <w:rPr>
                          <w:noProof/>
                          <w:szCs w:val="18"/>
                        </w:rPr>
                        <w:t>Fredua Agyeman</w:t>
                      </w:r>
                    </w:p>
                  </w:tc>
                </w:tr>
                <w:tr w:rsidR="00B649D6" w14:paraId="43CC8168" w14:textId="77777777" w:rsidTr="008D2AF0">
                  <w:trPr>
                    <w:trHeight w:val="288"/>
                  </w:trPr>
                  <w:tc>
                    <w:tcPr>
                      <w:tcW w:w="10975" w:type="dxa"/>
                      <w:vAlign w:val="center"/>
                    </w:tcPr>
                    <w:p w14:paraId="2CB20091" w14:textId="77777777" w:rsidR="008D2AF0" w:rsidRPr="00EC2C3B" w:rsidRDefault="000603E8" w:rsidP="008D2AF0">
                      <w:pPr>
                        <w:rPr>
                          <w:szCs w:val="18"/>
                        </w:rPr>
                      </w:pPr>
                      <w:r w:rsidRPr="00EC2C3B">
                        <w:rPr>
                          <w:noProof/>
                          <w:szCs w:val="18"/>
                        </w:rPr>
                        <w:t>Director of Environment, Ministry of Environment, Science, T</w:t>
                      </w:r>
                    </w:p>
                  </w:tc>
                </w:tr>
                <w:tr w:rsidR="00B649D6" w14:paraId="25732266" w14:textId="77777777" w:rsidTr="008D2AF0">
                  <w:trPr>
                    <w:trHeight w:val="288"/>
                  </w:trPr>
                  <w:tc>
                    <w:tcPr>
                      <w:tcW w:w="10975" w:type="dxa"/>
                      <w:vAlign w:val="center"/>
                    </w:tcPr>
                    <w:p w14:paraId="178D5E9B" w14:textId="77777777" w:rsidR="008D2AF0" w:rsidRPr="00EC2C3B" w:rsidRDefault="000603E8" w:rsidP="008D2AF0">
                      <w:pPr>
                        <w:rPr>
                          <w:szCs w:val="18"/>
                        </w:rPr>
                      </w:pPr>
                      <w:r w:rsidRPr="00EC2C3B">
                        <w:rPr>
                          <w:noProof/>
                          <w:szCs w:val="18"/>
                        </w:rPr>
                        <w:t>fredua_agyeman@hotmail.com</w:t>
                      </w:r>
                    </w:p>
                  </w:tc>
                </w:tr>
              </w:tbl>
              <w:p w14:paraId="4CFB5E79" w14:textId="77777777" w:rsidR="008D2AF0" w:rsidRPr="00E53FF0" w:rsidRDefault="008D2AF0" w:rsidP="008D2AF0">
                <w:pPr>
                  <w:rPr>
                    <w:b/>
                    <w:color w:val="172D5F"/>
                    <w:sz w:val="20"/>
                    <w:szCs w:val="20"/>
                  </w:rPr>
                </w:pPr>
              </w:p>
              <w:p w14:paraId="6264235E"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426161C0" w14:textId="77777777" w:rsidTr="008D2AF0">
                  <w:trPr>
                    <w:trHeight w:val="288"/>
                  </w:trPr>
                  <w:tc>
                    <w:tcPr>
                      <w:tcW w:w="10975" w:type="dxa"/>
                      <w:vAlign w:val="center"/>
                    </w:tcPr>
                    <w:p w14:paraId="36ADBE11" w14:textId="77777777" w:rsidR="008D2AF0" w:rsidRPr="00EC2C3B" w:rsidRDefault="000603E8" w:rsidP="008D2AF0">
                      <w:pPr>
                        <w:rPr>
                          <w:szCs w:val="18"/>
                        </w:rPr>
                      </w:pPr>
                      <w:r w:rsidRPr="00EC2C3B">
                        <w:rPr>
                          <w:noProof/>
                          <w:szCs w:val="18"/>
                        </w:rPr>
                        <w:t>Republic of Zambia</w:t>
                      </w:r>
                    </w:p>
                  </w:tc>
                </w:tr>
                <w:tr w:rsidR="00B649D6" w14:paraId="085EA4FF" w14:textId="77777777" w:rsidTr="008D2AF0">
                  <w:trPr>
                    <w:trHeight w:val="288"/>
                  </w:trPr>
                  <w:tc>
                    <w:tcPr>
                      <w:tcW w:w="10975" w:type="dxa"/>
                      <w:vAlign w:val="center"/>
                    </w:tcPr>
                    <w:p w14:paraId="2CEFD8D8" w14:textId="77777777" w:rsidR="008D2AF0" w:rsidRPr="00EC2C3B" w:rsidRDefault="000603E8" w:rsidP="008D2AF0">
                      <w:pPr>
                        <w:rPr>
                          <w:szCs w:val="18"/>
                        </w:rPr>
                      </w:pPr>
                      <w:r w:rsidRPr="00EC2C3B">
                        <w:rPr>
                          <w:noProof/>
                          <w:szCs w:val="18"/>
                        </w:rPr>
                        <w:t>Godwin Fishani  Gondwe</w:t>
                      </w:r>
                    </w:p>
                  </w:tc>
                </w:tr>
                <w:tr w:rsidR="00B649D6" w14:paraId="5ABFD869" w14:textId="77777777" w:rsidTr="008D2AF0">
                  <w:trPr>
                    <w:trHeight w:val="288"/>
                  </w:trPr>
                  <w:tc>
                    <w:tcPr>
                      <w:tcW w:w="10975" w:type="dxa"/>
                      <w:vAlign w:val="center"/>
                    </w:tcPr>
                    <w:p w14:paraId="31EC8BE7" w14:textId="77777777" w:rsidR="008D2AF0" w:rsidRPr="00EC2C3B" w:rsidRDefault="000603E8" w:rsidP="008D2AF0">
                      <w:pPr>
                        <w:rPr>
                          <w:szCs w:val="18"/>
                        </w:rPr>
                      </w:pPr>
                      <w:r w:rsidRPr="00EC2C3B">
                        <w:rPr>
                          <w:noProof/>
                          <w:szCs w:val="18"/>
                        </w:rPr>
                        <w:t>Director, Environment Management Department, Ministry of Wat</w:t>
                      </w:r>
                    </w:p>
                  </w:tc>
                </w:tr>
                <w:tr w:rsidR="00B649D6" w14:paraId="3F12FF7A" w14:textId="77777777" w:rsidTr="008D2AF0">
                  <w:trPr>
                    <w:trHeight w:val="288"/>
                  </w:trPr>
                  <w:tc>
                    <w:tcPr>
                      <w:tcW w:w="10975" w:type="dxa"/>
                      <w:vAlign w:val="center"/>
                    </w:tcPr>
                    <w:p w14:paraId="0CDE1687" w14:textId="77777777" w:rsidR="008D2AF0" w:rsidRPr="00EC2C3B" w:rsidRDefault="000603E8" w:rsidP="008D2AF0">
                      <w:pPr>
                        <w:rPr>
                          <w:szCs w:val="18"/>
                        </w:rPr>
                      </w:pPr>
                      <w:r w:rsidRPr="00EC2C3B">
                        <w:rPr>
                          <w:noProof/>
                          <w:szCs w:val="18"/>
                        </w:rPr>
                        <w:t>figogmel@yahoo.co.uk</w:t>
                      </w:r>
                    </w:p>
                  </w:tc>
                </w:tr>
              </w:tbl>
              <w:p w14:paraId="56DFBB45" w14:textId="77777777" w:rsidR="008D2AF0" w:rsidRPr="00E53FF0" w:rsidRDefault="008D2AF0" w:rsidP="008D2AF0">
                <w:pPr>
                  <w:rPr>
                    <w:b/>
                    <w:color w:val="172D5F"/>
                    <w:sz w:val="20"/>
                    <w:szCs w:val="20"/>
                  </w:rPr>
                </w:pPr>
              </w:p>
              <w:p w14:paraId="602018A3"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1405C2A4" w14:textId="77777777" w:rsidTr="008D2AF0">
                  <w:trPr>
                    <w:trHeight w:val="288"/>
                  </w:trPr>
                  <w:tc>
                    <w:tcPr>
                      <w:tcW w:w="10975" w:type="dxa"/>
                      <w:vAlign w:val="center"/>
                    </w:tcPr>
                    <w:p w14:paraId="4A5E057F" w14:textId="77777777" w:rsidR="008D2AF0" w:rsidRPr="00EC2C3B" w:rsidRDefault="000603E8" w:rsidP="008D2AF0">
                      <w:pPr>
                        <w:rPr>
                          <w:szCs w:val="18"/>
                        </w:rPr>
                      </w:pPr>
                      <w:r w:rsidRPr="00EC2C3B">
                        <w:rPr>
                          <w:noProof/>
                          <w:szCs w:val="18"/>
                        </w:rPr>
                        <w:t>United Republic of Tanzania</w:t>
                      </w:r>
                    </w:p>
                  </w:tc>
                </w:tr>
                <w:tr w:rsidR="00B649D6" w14:paraId="35731850" w14:textId="77777777" w:rsidTr="008D2AF0">
                  <w:trPr>
                    <w:trHeight w:val="288"/>
                  </w:trPr>
                  <w:tc>
                    <w:tcPr>
                      <w:tcW w:w="10975" w:type="dxa"/>
                      <w:vAlign w:val="center"/>
                    </w:tcPr>
                    <w:p w14:paraId="3C08B777" w14:textId="77777777" w:rsidR="008D2AF0" w:rsidRPr="00EC2C3B" w:rsidRDefault="000603E8" w:rsidP="008D2AF0">
                      <w:pPr>
                        <w:rPr>
                          <w:szCs w:val="18"/>
                        </w:rPr>
                      </w:pPr>
                      <w:r w:rsidRPr="00EC2C3B">
                        <w:rPr>
                          <w:noProof/>
                          <w:szCs w:val="18"/>
                        </w:rPr>
                        <w:t>Esther Makwaia</w:t>
                      </w:r>
                    </w:p>
                  </w:tc>
                </w:tr>
                <w:tr w:rsidR="00B649D6" w14:paraId="798DD6EB" w14:textId="77777777" w:rsidTr="008D2AF0">
                  <w:trPr>
                    <w:trHeight w:val="288"/>
                  </w:trPr>
                  <w:tc>
                    <w:tcPr>
                      <w:tcW w:w="10975" w:type="dxa"/>
                      <w:vAlign w:val="center"/>
                    </w:tcPr>
                    <w:p w14:paraId="1B7884DD" w14:textId="77777777" w:rsidR="008D2AF0" w:rsidRPr="00EC2C3B" w:rsidRDefault="000603E8" w:rsidP="008D2AF0">
                      <w:pPr>
                        <w:rPr>
                          <w:szCs w:val="18"/>
                        </w:rPr>
                      </w:pPr>
                      <w:r w:rsidRPr="00EC2C3B">
                        <w:rPr>
                          <w:noProof/>
                          <w:szCs w:val="18"/>
                        </w:rPr>
                        <w:t>Acting Director of Environment, Vice President's Office</w:t>
                      </w:r>
                    </w:p>
                  </w:tc>
                </w:tr>
                <w:tr w:rsidR="00B649D6" w14:paraId="719F8303" w14:textId="77777777" w:rsidTr="008D2AF0">
                  <w:trPr>
                    <w:trHeight w:val="288"/>
                  </w:trPr>
                  <w:tc>
                    <w:tcPr>
                      <w:tcW w:w="10975" w:type="dxa"/>
                      <w:vAlign w:val="center"/>
                    </w:tcPr>
                    <w:p w14:paraId="517ADDE5" w14:textId="77777777" w:rsidR="008D2AF0" w:rsidRPr="00EC2C3B" w:rsidRDefault="000603E8" w:rsidP="008D2AF0">
                      <w:pPr>
                        <w:rPr>
                          <w:szCs w:val="18"/>
                        </w:rPr>
                      </w:pPr>
                      <w:r w:rsidRPr="00EC2C3B">
                        <w:rPr>
                          <w:noProof/>
                          <w:szCs w:val="18"/>
                        </w:rPr>
                        <w:t>esther_makwaia@hotmail.com</w:t>
                      </w:r>
                    </w:p>
                  </w:tc>
                </w:tr>
              </w:tbl>
              <w:p w14:paraId="0F720EB7" w14:textId="77777777" w:rsidR="008D2AF0" w:rsidRPr="00E53FF0" w:rsidRDefault="008D2AF0" w:rsidP="008D2AF0">
                <w:pPr>
                  <w:rPr>
                    <w:b/>
                    <w:color w:val="172D5F"/>
                    <w:sz w:val="20"/>
                    <w:szCs w:val="20"/>
                  </w:rPr>
                </w:pPr>
              </w:p>
              <w:p w14:paraId="25AB4971" w14:textId="77777777" w:rsidR="008D2AF0" w:rsidRPr="005E5E94" w:rsidRDefault="008D2AF0" w:rsidP="008D2AF0">
                <w:pPr>
                  <w:rPr>
                    <w:b/>
                    <w:color w:val="172D5F"/>
                    <w:sz w:val="2"/>
                    <w:szCs w:val="20"/>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5A6656CF" w14:textId="77777777" w:rsidTr="008D2AF0">
                  <w:trPr>
                    <w:trHeight w:val="288"/>
                  </w:trPr>
                  <w:tc>
                    <w:tcPr>
                      <w:tcW w:w="10975" w:type="dxa"/>
                      <w:vAlign w:val="center"/>
                    </w:tcPr>
                    <w:p w14:paraId="372D280D" w14:textId="77777777" w:rsidR="008D2AF0" w:rsidRPr="00EC2C3B" w:rsidRDefault="000603E8" w:rsidP="008D2AF0">
                      <w:pPr>
                        <w:rPr>
                          <w:szCs w:val="18"/>
                        </w:rPr>
                      </w:pPr>
                      <w:r w:rsidRPr="00EC2C3B">
                        <w:rPr>
                          <w:noProof/>
                          <w:szCs w:val="18"/>
                        </w:rPr>
                        <w:t>Republic of Senegal</w:t>
                      </w:r>
                    </w:p>
                  </w:tc>
                </w:tr>
                <w:tr w:rsidR="00B649D6" w14:paraId="304BAAA8" w14:textId="77777777" w:rsidTr="008D2AF0">
                  <w:trPr>
                    <w:trHeight w:val="288"/>
                  </w:trPr>
                  <w:tc>
                    <w:tcPr>
                      <w:tcW w:w="10975" w:type="dxa"/>
                      <w:vAlign w:val="center"/>
                    </w:tcPr>
                    <w:p w14:paraId="231D261B" w14:textId="77777777" w:rsidR="008D2AF0" w:rsidRPr="00EC2C3B" w:rsidRDefault="000603E8" w:rsidP="008D2AF0">
                      <w:pPr>
                        <w:rPr>
                          <w:szCs w:val="18"/>
                        </w:rPr>
                      </w:pPr>
                      <w:r w:rsidRPr="00EC2C3B">
                        <w:rPr>
                          <w:noProof/>
                          <w:szCs w:val="18"/>
                        </w:rPr>
                        <w:t>Mariline Diara</w:t>
                      </w:r>
                    </w:p>
                  </w:tc>
                </w:tr>
                <w:tr w:rsidR="00B649D6" w14:paraId="3ABE8555" w14:textId="77777777" w:rsidTr="008D2AF0">
                  <w:trPr>
                    <w:trHeight w:val="288"/>
                  </w:trPr>
                  <w:tc>
                    <w:tcPr>
                      <w:tcW w:w="10975" w:type="dxa"/>
                      <w:vAlign w:val="center"/>
                    </w:tcPr>
                    <w:p w14:paraId="61DEC87E" w14:textId="77777777" w:rsidR="008D2AF0" w:rsidRPr="00EC2C3B" w:rsidRDefault="000603E8" w:rsidP="008D2AF0">
                      <w:pPr>
                        <w:rPr>
                          <w:szCs w:val="18"/>
                        </w:rPr>
                      </w:pPr>
                      <w:r w:rsidRPr="00EC2C3B">
                        <w:rPr>
                          <w:noProof/>
                          <w:szCs w:val="18"/>
                        </w:rPr>
                        <w:t>Director, Department of Environment and Classified Establish</w:t>
                      </w:r>
                    </w:p>
                  </w:tc>
                </w:tr>
                <w:tr w:rsidR="00B649D6" w14:paraId="3FC4CEF1" w14:textId="77777777" w:rsidTr="008D2AF0">
                  <w:trPr>
                    <w:trHeight w:val="288"/>
                  </w:trPr>
                  <w:tc>
                    <w:tcPr>
                      <w:tcW w:w="10975" w:type="dxa"/>
                      <w:vAlign w:val="center"/>
                    </w:tcPr>
                    <w:p w14:paraId="3A0DD583" w14:textId="77777777" w:rsidR="008D2AF0" w:rsidRPr="00EC2C3B" w:rsidRDefault="000603E8" w:rsidP="008D2AF0">
                      <w:pPr>
                        <w:rPr>
                          <w:szCs w:val="18"/>
                        </w:rPr>
                      </w:pPr>
                      <w:r w:rsidRPr="00EC2C3B">
                        <w:rPr>
                          <w:noProof/>
                          <w:szCs w:val="18"/>
                        </w:rPr>
                        <w:t>marilinediara@yahoo.fr</w:t>
                      </w:r>
                    </w:p>
                  </w:tc>
                </w:tr>
              </w:tbl>
              <w:p w14:paraId="7C43D0E8" w14:textId="77777777" w:rsidR="008D2AF0" w:rsidRPr="00E53FF0" w:rsidRDefault="008D2AF0" w:rsidP="008D2AF0">
                <w:pPr>
                  <w:rPr>
                    <w:b/>
                    <w:color w:val="172D5F"/>
                    <w:sz w:val="20"/>
                    <w:szCs w:val="20"/>
                  </w:rPr>
                </w:pPr>
              </w:p>
            </w:tc>
          </w:tr>
          <w:tr w:rsidR="00B649D6" w14:paraId="5067F7F4" w14:textId="77777777" w:rsidTr="00C52DA8">
            <w:trPr>
              <w:trHeight w:val="432"/>
            </w:trPr>
            <w:tc>
              <w:tcPr>
                <w:tcW w:w="10800" w:type="dxa"/>
                <w:shd w:val="clear" w:color="auto" w:fill="F7F7F7"/>
                <w:vAlign w:val="center"/>
              </w:tcPr>
              <w:p w14:paraId="663D1553" w14:textId="77777777" w:rsidR="008D2AF0" w:rsidRPr="00EC2C3B" w:rsidRDefault="000603E8" w:rsidP="008D2AF0">
                <w:pPr>
                  <w:rPr>
                    <w:b/>
                    <w:color w:val="172D5F"/>
                  </w:rPr>
                </w:pPr>
                <w:r w:rsidRPr="00EC2C3B">
                  <w:rPr>
                    <w:b/>
                    <w:color w:val="172D5F"/>
                  </w:rPr>
                  <w:lastRenderedPageBreak/>
                  <w:t xml:space="preserve">  Implementing Agencies</w:t>
                </w:r>
              </w:p>
            </w:tc>
          </w:tr>
          <w:tr w:rsidR="00B649D6" w14:paraId="58EE8EC5" w14:textId="77777777" w:rsidTr="00C52DA8">
            <w:trPr>
              <w:trHeight w:val="1458"/>
            </w:trPr>
            <w:tc>
              <w:tcPr>
                <w:tcW w:w="10800" w:type="dxa"/>
                <w:shd w:val="clear" w:color="auto" w:fill="F7F7F7"/>
                <w:vAlign w:val="center"/>
              </w:tcPr>
              <w:p w14:paraId="3FA02D92"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69B775A3" w14:textId="77777777" w:rsidTr="008D2AF0">
                  <w:trPr>
                    <w:trHeight w:val="288"/>
                  </w:trPr>
                  <w:tc>
                    <w:tcPr>
                      <w:tcW w:w="10975" w:type="dxa"/>
                      <w:vAlign w:val="center"/>
                    </w:tcPr>
                    <w:p w14:paraId="7F012362" w14:textId="77777777" w:rsidR="008D2AF0" w:rsidRPr="00EC2C3B" w:rsidRDefault="000603E8" w:rsidP="008D2AF0">
                      <w:pPr>
                        <w:rPr>
                          <w:szCs w:val="18"/>
                        </w:rPr>
                      </w:pPr>
                      <w:r w:rsidRPr="00EC2C3B">
                        <w:rPr>
                          <w:noProof/>
                          <w:szCs w:val="18"/>
                        </w:rPr>
                        <w:t>The National Environmental Management Council (NEMC)</w:t>
                      </w:r>
                    </w:p>
                  </w:tc>
                </w:tr>
                <w:tr w:rsidR="00B649D6" w14:paraId="41E520D7" w14:textId="77777777" w:rsidTr="008D2AF0">
                  <w:trPr>
                    <w:trHeight w:val="288"/>
                  </w:trPr>
                  <w:tc>
                    <w:tcPr>
                      <w:tcW w:w="10975" w:type="dxa"/>
                      <w:vAlign w:val="center"/>
                    </w:tcPr>
                    <w:p w14:paraId="3E28E4FA" w14:textId="77777777" w:rsidR="008D2AF0" w:rsidRPr="00EC2C3B" w:rsidRDefault="000603E8" w:rsidP="008D2AF0">
                      <w:pPr>
                        <w:rPr>
                          <w:szCs w:val="18"/>
                        </w:rPr>
                      </w:pPr>
                      <w:r w:rsidRPr="00EC2C3B">
                        <w:rPr>
                          <w:noProof/>
                          <w:szCs w:val="18"/>
                        </w:rPr>
                        <w:t>Esther  Makwaia</w:t>
                      </w:r>
                    </w:p>
                  </w:tc>
                </w:tr>
                <w:tr w:rsidR="00B649D6" w14:paraId="6DDF0224" w14:textId="77777777" w:rsidTr="008D2AF0">
                  <w:trPr>
                    <w:trHeight w:val="288"/>
                  </w:trPr>
                  <w:tc>
                    <w:tcPr>
                      <w:tcW w:w="10975" w:type="dxa"/>
                      <w:vAlign w:val="center"/>
                    </w:tcPr>
                    <w:p w14:paraId="0E299FAA" w14:textId="77777777" w:rsidR="008D2AF0" w:rsidRPr="00EC2C3B" w:rsidRDefault="000603E8" w:rsidP="008D2AF0">
                      <w:pPr>
                        <w:rPr>
                          <w:szCs w:val="18"/>
                        </w:rPr>
                      </w:pPr>
                      <w:r w:rsidRPr="00EC2C3B">
                        <w:rPr>
                          <w:noProof/>
                          <w:szCs w:val="18"/>
                        </w:rPr>
                        <w:t>AG. Director of Environment, VP Office</w:t>
                      </w:r>
                    </w:p>
                  </w:tc>
                </w:tr>
                <w:tr w:rsidR="00B649D6" w14:paraId="0DBC53EE" w14:textId="77777777" w:rsidTr="008D2AF0">
                  <w:trPr>
                    <w:trHeight w:val="288"/>
                  </w:trPr>
                  <w:tc>
                    <w:tcPr>
                      <w:tcW w:w="10975" w:type="dxa"/>
                      <w:vAlign w:val="center"/>
                    </w:tcPr>
                    <w:p w14:paraId="1F620090" w14:textId="77777777" w:rsidR="008D2AF0" w:rsidRPr="00EC2C3B" w:rsidRDefault="000603E8" w:rsidP="008D2AF0">
                      <w:pPr>
                        <w:rPr>
                          <w:szCs w:val="18"/>
                        </w:rPr>
                      </w:pPr>
                      <w:r w:rsidRPr="00EC2C3B">
                        <w:rPr>
                          <w:noProof/>
                          <w:szCs w:val="18"/>
                        </w:rPr>
                        <w:t>esther_makwaia@hotmail.com</w:t>
                      </w:r>
                    </w:p>
                  </w:tc>
                </w:tr>
              </w:tbl>
              <w:p w14:paraId="0CEC8D1B" w14:textId="77777777" w:rsidR="008D2AF0" w:rsidRPr="00A23AC8" w:rsidRDefault="008D2AF0" w:rsidP="008D2AF0">
                <w:pPr>
                  <w:rPr>
                    <w:b/>
                    <w:color w:val="172D5F"/>
                    <w:sz w:val="18"/>
                    <w:szCs w:val="18"/>
                  </w:rPr>
                </w:pPr>
              </w:p>
              <w:p w14:paraId="69EE0EC3"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17F57A64" w14:textId="77777777" w:rsidTr="008D2AF0">
                  <w:trPr>
                    <w:trHeight w:val="288"/>
                  </w:trPr>
                  <w:tc>
                    <w:tcPr>
                      <w:tcW w:w="10975" w:type="dxa"/>
                      <w:vAlign w:val="center"/>
                    </w:tcPr>
                    <w:p w14:paraId="6CB93364" w14:textId="77777777" w:rsidR="008D2AF0" w:rsidRPr="00EC2C3B" w:rsidRDefault="000603E8" w:rsidP="008D2AF0">
                      <w:pPr>
                        <w:rPr>
                          <w:szCs w:val="18"/>
                        </w:rPr>
                      </w:pPr>
                      <w:r w:rsidRPr="00EC2C3B">
                        <w:rPr>
                          <w:noProof/>
                          <w:szCs w:val="18"/>
                        </w:rPr>
                        <w:t>Environmental Protection Agency (EPA)</w:t>
                      </w:r>
                    </w:p>
                  </w:tc>
                </w:tr>
                <w:tr w:rsidR="00B649D6" w14:paraId="24A0A3DE" w14:textId="77777777" w:rsidTr="008D2AF0">
                  <w:trPr>
                    <w:trHeight w:val="288"/>
                  </w:trPr>
                  <w:tc>
                    <w:tcPr>
                      <w:tcW w:w="10975" w:type="dxa"/>
                      <w:vAlign w:val="center"/>
                    </w:tcPr>
                    <w:p w14:paraId="3F6519EE" w14:textId="77777777" w:rsidR="008D2AF0" w:rsidRPr="00EC2C3B" w:rsidRDefault="000603E8" w:rsidP="008D2AF0">
                      <w:pPr>
                        <w:rPr>
                          <w:szCs w:val="18"/>
                        </w:rPr>
                      </w:pPr>
                      <w:r w:rsidRPr="00EC2C3B">
                        <w:rPr>
                          <w:noProof/>
                          <w:szCs w:val="18"/>
                        </w:rPr>
                        <w:t>Fredua  Agyeman</w:t>
                      </w:r>
                    </w:p>
                  </w:tc>
                </w:tr>
                <w:tr w:rsidR="00B649D6" w14:paraId="475615EA" w14:textId="77777777" w:rsidTr="008D2AF0">
                  <w:trPr>
                    <w:trHeight w:val="288"/>
                  </w:trPr>
                  <w:tc>
                    <w:tcPr>
                      <w:tcW w:w="10975" w:type="dxa"/>
                      <w:vAlign w:val="center"/>
                    </w:tcPr>
                    <w:p w14:paraId="41BB3E69" w14:textId="77777777" w:rsidR="008D2AF0" w:rsidRPr="00EC2C3B" w:rsidRDefault="000603E8" w:rsidP="008D2AF0">
                      <w:pPr>
                        <w:rPr>
                          <w:szCs w:val="18"/>
                        </w:rPr>
                      </w:pPr>
                      <w:r w:rsidRPr="00EC2C3B">
                        <w:rPr>
                          <w:noProof/>
                          <w:szCs w:val="18"/>
                        </w:rPr>
                        <w:t>Director of Environment</w:t>
                      </w:r>
                    </w:p>
                  </w:tc>
                </w:tr>
                <w:tr w:rsidR="00B649D6" w14:paraId="53D61097" w14:textId="77777777" w:rsidTr="008D2AF0">
                  <w:trPr>
                    <w:trHeight w:val="288"/>
                  </w:trPr>
                  <w:tc>
                    <w:tcPr>
                      <w:tcW w:w="10975" w:type="dxa"/>
                      <w:vAlign w:val="center"/>
                    </w:tcPr>
                    <w:p w14:paraId="4C938EB2" w14:textId="77777777" w:rsidR="008D2AF0" w:rsidRPr="00EC2C3B" w:rsidRDefault="000603E8" w:rsidP="008D2AF0">
                      <w:pPr>
                        <w:rPr>
                          <w:szCs w:val="18"/>
                        </w:rPr>
                      </w:pPr>
                      <w:r w:rsidRPr="00EC2C3B">
                        <w:rPr>
                          <w:noProof/>
                          <w:szCs w:val="18"/>
                        </w:rPr>
                        <w:t>fredua_agyeman@hotmail.com</w:t>
                      </w:r>
                    </w:p>
                  </w:tc>
                </w:tr>
              </w:tbl>
              <w:p w14:paraId="56474719" w14:textId="77777777" w:rsidR="008D2AF0" w:rsidRPr="00A23AC8" w:rsidRDefault="008D2AF0" w:rsidP="008D2AF0">
                <w:pPr>
                  <w:rPr>
                    <w:b/>
                    <w:color w:val="172D5F"/>
                    <w:sz w:val="18"/>
                    <w:szCs w:val="18"/>
                  </w:rPr>
                </w:pPr>
              </w:p>
              <w:p w14:paraId="077F668C"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0253B759" w14:textId="77777777" w:rsidTr="008D2AF0">
                  <w:trPr>
                    <w:trHeight w:val="288"/>
                  </w:trPr>
                  <w:tc>
                    <w:tcPr>
                      <w:tcW w:w="10975" w:type="dxa"/>
                      <w:vAlign w:val="center"/>
                    </w:tcPr>
                    <w:p w14:paraId="3D8DC1E1" w14:textId="77777777" w:rsidR="008D2AF0" w:rsidRPr="00EC2C3B" w:rsidRDefault="000603E8" w:rsidP="008D2AF0">
                      <w:pPr>
                        <w:rPr>
                          <w:szCs w:val="18"/>
                        </w:rPr>
                      </w:pPr>
                      <w:r w:rsidRPr="00EC2C3B">
                        <w:rPr>
                          <w:noProof/>
                          <w:szCs w:val="18"/>
                        </w:rPr>
                        <w:t>National Environmental Management Authority (Ministry of Environment and Forestry)</w:t>
                      </w:r>
                    </w:p>
                  </w:tc>
                </w:tr>
                <w:tr w:rsidR="00B649D6" w14:paraId="7C064849" w14:textId="77777777" w:rsidTr="008D2AF0">
                  <w:trPr>
                    <w:trHeight w:val="288"/>
                  </w:trPr>
                  <w:tc>
                    <w:tcPr>
                      <w:tcW w:w="10975" w:type="dxa"/>
                      <w:vAlign w:val="center"/>
                    </w:tcPr>
                    <w:p w14:paraId="60AD864E" w14:textId="77777777" w:rsidR="008D2AF0" w:rsidRPr="00EC2C3B" w:rsidRDefault="000603E8" w:rsidP="008D2AF0">
                      <w:pPr>
                        <w:rPr>
                          <w:szCs w:val="18"/>
                        </w:rPr>
                      </w:pPr>
                      <w:r w:rsidRPr="00EC2C3B">
                        <w:rPr>
                          <w:noProof/>
                          <w:szCs w:val="18"/>
                        </w:rPr>
                        <w:t>Charles Lange</w:t>
                      </w:r>
                    </w:p>
                  </w:tc>
                </w:tr>
                <w:tr w:rsidR="00B649D6" w14:paraId="395847FF" w14:textId="77777777" w:rsidTr="008D2AF0">
                  <w:trPr>
                    <w:trHeight w:val="288"/>
                  </w:trPr>
                  <w:tc>
                    <w:tcPr>
                      <w:tcW w:w="10975" w:type="dxa"/>
                      <w:vAlign w:val="center"/>
                    </w:tcPr>
                    <w:p w14:paraId="18100338" w14:textId="77777777" w:rsidR="008D2AF0" w:rsidRPr="00EC2C3B" w:rsidRDefault="000603E8" w:rsidP="008D2AF0">
                      <w:pPr>
                        <w:rPr>
                          <w:szCs w:val="18"/>
                        </w:rPr>
                      </w:pPr>
                      <w:r w:rsidRPr="00EC2C3B">
                        <w:rPr>
                          <w:noProof/>
                          <w:szCs w:val="18"/>
                        </w:rPr>
                        <w:t>E-Waste specialist</w:t>
                      </w:r>
                    </w:p>
                  </w:tc>
                </w:tr>
                <w:tr w:rsidR="00B649D6" w14:paraId="3BBB5505" w14:textId="77777777" w:rsidTr="008D2AF0">
                  <w:trPr>
                    <w:trHeight w:val="288"/>
                  </w:trPr>
                  <w:tc>
                    <w:tcPr>
                      <w:tcW w:w="10975" w:type="dxa"/>
                      <w:vAlign w:val="center"/>
                    </w:tcPr>
                    <w:p w14:paraId="0ACED483" w14:textId="77777777" w:rsidR="008D2AF0" w:rsidRPr="00EC2C3B" w:rsidRDefault="000603E8" w:rsidP="008D2AF0">
                      <w:pPr>
                        <w:rPr>
                          <w:szCs w:val="18"/>
                        </w:rPr>
                      </w:pPr>
                      <w:r w:rsidRPr="00EC2C3B">
                        <w:rPr>
                          <w:noProof/>
                          <w:szCs w:val="18"/>
                        </w:rPr>
                        <w:t>nzavi2001@yahoo.com</w:t>
                      </w:r>
                    </w:p>
                  </w:tc>
                </w:tr>
              </w:tbl>
              <w:p w14:paraId="1CB979D5" w14:textId="77777777" w:rsidR="008D2AF0" w:rsidRPr="00A23AC8" w:rsidRDefault="008D2AF0" w:rsidP="008D2AF0">
                <w:pPr>
                  <w:rPr>
                    <w:b/>
                    <w:color w:val="172D5F"/>
                    <w:sz w:val="18"/>
                    <w:szCs w:val="18"/>
                  </w:rPr>
                </w:pPr>
              </w:p>
              <w:p w14:paraId="1283B221"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21D06EA7" w14:textId="77777777" w:rsidTr="008D2AF0">
                  <w:trPr>
                    <w:trHeight w:val="288"/>
                  </w:trPr>
                  <w:tc>
                    <w:tcPr>
                      <w:tcW w:w="10975" w:type="dxa"/>
                      <w:vAlign w:val="center"/>
                    </w:tcPr>
                    <w:p w14:paraId="615555FB" w14:textId="77777777" w:rsidR="008D2AF0" w:rsidRPr="00EC2C3B" w:rsidRDefault="000603E8" w:rsidP="008D2AF0">
                      <w:pPr>
                        <w:rPr>
                          <w:szCs w:val="18"/>
                        </w:rPr>
                      </w:pPr>
                      <w:r w:rsidRPr="00EC2C3B">
                        <w:rPr>
                          <w:noProof/>
                          <w:szCs w:val="18"/>
                        </w:rPr>
                        <w:t>Zambia Environmental Management Agency</w:t>
                      </w:r>
                    </w:p>
                  </w:tc>
                </w:tr>
                <w:tr w:rsidR="00B649D6" w14:paraId="14F10291" w14:textId="77777777" w:rsidTr="008D2AF0">
                  <w:trPr>
                    <w:trHeight w:val="288"/>
                  </w:trPr>
                  <w:tc>
                    <w:tcPr>
                      <w:tcW w:w="10975" w:type="dxa"/>
                      <w:vAlign w:val="center"/>
                    </w:tcPr>
                    <w:p w14:paraId="5431C8CB" w14:textId="77777777" w:rsidR="008D2AF0" w:rsidRPr="00EC2C3B" w:rsidRDefault="000603E8" w:rsidP="008D2AF0">
                      <w:pPr>
                        <w:rPr>
                          <w:szCs w:val="18"/>
                        </w:rPr>
                      </w:pPr>
                      <w:r w:rsidRPr="00EC2C3B">
                        <w:rPr>
                          <w:noProof/>
                          <w:szCs w:val="18"/>
                        </w:rPr>
                        <w:t>John  Msimuko</w:t>
                      </w:r>
                    </w:p>
                  </w:tc>
                </w:tr>
                <w:tr w:rsidR="00B649D6" w14:paraId="7454A708" w14:textId="77777777" w:rsidTr="008D2AF0">
                  <w:trPr>
                    <w:trHeight w:val="288"/>
                  </w:trPr>
                  <w:tc>
                    <w:tcPr>
                      <w:tcW w:w="10975" w:type="dxa"/>
                      <w:vAlign w:val="center"/>
                    </w:tcPr>
                    <w:p w14:paraId="7CFC40F3" w14:textId="77777777" w:rsidR="008D2AF0" w:rsidRPr="00EC2C3B" w:rsidRDefault="000603E8" w:rsidP="008D2AF0">
                      <w:pPr>
                        <w:rPr>
                          <w:szCs w:val="18"/>
                        </w:rPr>
                      </w:pPr>
                      <w:r w:rsidRPr="00EC2C3B">
                        <w:rPr>
                          <w:noProof/>
                          <w:szCs w:val="18"/>
                        </w:rPr>
                        <w:t>Director General</w:t>
                      </w:r>
                    </w:p>
                  </w:tc>
                </w:tr>
                <w:tr w:rsidR="00B649D6" w14:paraId="764C0F6C" w14:textId="77777777" w:rsidTr="008D2AF0">
                  <w:trPr>
                    <w:trHeight w:val="288"/>
                  </w:trPr>
                  <w:tc>
                    <w:tcPr>
                      <w:tcW w:w="10975" w:type="dxa"/>
                      <w:vAlign w:val="center"/>
                    </w:tcPr>
                    <w:p w14:paraId="6E98C860" w14:textId="77777777" w:rsidR="008D2AF0" w:rsidRPr="00EC2C3B" w:rsidRDefault="000603E8" w:rsidP="008D2AF0">
                      <w:pPr>
                        <w:rPr>
                          <w:szCs w:val="18"/>
                        </w:rPr>
                      </w:pPr>
                      <w:r w:rsidRPr="00EC2C3B">
                        <w:rPr>
                          <w:noProof/>
                          <w:szCs w:val="18"/>
                        </w:rPr>
                        <w:t>jmsimuko@zema.org.zm</w:t>
                      </w:r>
                    </w:p>
                  </w:tc>
                </w:tr>
              </w:tbl>
              <w:p w14:paraId="5EF88883" w14:textId="77777777" w:rsidR="008D2AF0" w:rsidRPr="00A23AC8" w:rsidRDefault="008D2AF0" w:rsidP="008D2AF0">
                <w:pPr>
                  <w:rPr>
                    <w:b/>
                    <w:color w:val="172D5F"/>
                    <w:sz w:val="18"/>
                    <w:szCs w:val="18"/>
                  </w:rPr>
                </w:pPr>
              </w:p>
              <w:p w14:paraId="7F99E12D" w14:textId="77777777" w:rsidR="008D2AF0" w:rsidRPr="00903FE7" w:rsidRDefault="008D2AF0" w:rsidP="008D2AF0">
                <w:pPr>
                  <w:rPr>
                    <w:b/>
                    <w:color w:val="172D5F"/>
                    <w:sz w:val="2"/>
                    <w:szCs w:val="2"/>
                  </w:rPr>
                </w:pPr>
              </w:p>
              <w:tbl>
                <w:tblPr>
                  <w:tblStyle w:val="TableGrid35"/>
                  <w:tblW w:w="109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75"/>
                </w:tblGrid>
                <w:tr w:rsidR="00B649D6" w14:paraId="0B61EB86" w14:textId="77777777" w:rsidTr="008D2AF0">
                  <w:trPr>
                    <w:trHeight w:val="288"/>
                  </w:trPr>
                  <w:tc>
                    <w:tcPr>
                      <w:tcW w:w="10975" w:type="dxa"/>
                      <w:vAlign w:val="center"/>
                    </w:tcPr>
                    <w:p w14:paraId="4D608883" w14:textId="77777777" w:rsidR="008D2AF0" w:rsidRPr="00EC2C3B" w:rsidRDefault="000603E8" w:rsidP="008D2AF0">
                      <w:pPr>
                        <w:rPr>
                          <w:szCs w:val="18"/>
                        </w:rPr>
                      </w:pPr>
                      <w:r w:rsidRPr="00EC2C3B">
                        <w:rPr>
                          <w:noProof/>
                          <w:szCs w:val="18"/>
                        </w:rPr>
                        <w:t>Direction de l’Environnement et des Etablissements Classés - DEEC</w:t>
                      </w:r>
                    </w:p>
                  </w:tc>
                </w:tr>
                <w:tr w:rsidR="00B649D6" w14:paraId="655F006E" w14:textId="77777777" w:rsidTr="008D2AF0">
                  <w:trPr>
                    <w:trHeight w:val="288"/>
                  </w:trPr>
                  <w:tc>
                    <w:tcPr>
                      <w:tcW w:w="10975" w:type="dxa"/>
                      <w:vAlign w:val="center"/>
                    </w:tcPr>
                    <w:p w14:paraId="469536AA" w14:textId="77777777" w:rsidR="008D2AF0" w:rsidRPr="00EC2C3B" w:rsidRDefault="000603E8" w:rsidP="008D2AF0">
                      <w:pPr>
                        <w:rPr>
                          <w:szCs w:val="18"/>
                        </w:rPr>
                      </w:pPr>
                      <w:r w:rsidRPr="00EC2C3B">
                        <w:rPr>
                          <w:noProof/>
                          <w:szCs w:val="18"/>
                        </w:rPr>
                        <w:t>Mariline  Diara</w:t>
                      </w:r>
                    </w:p>
                  </w:tc>
                </w:tr>
                <w:tr w:rsidR="00B649D6" w14:paraId="0E5B195B" w14:textId="77777777" w:rsidTr="008D2AF0">
                  <w:trPr>
                    <w:trHeight w:val="288"/>
                  </w:trPr>
                  <w:tc>
                    <w:tcPr>
                      <w:tcW w:w="10975" w:type="dxa"/>
                      <w:vAlign w:val="center"/>
                    </w:tcPr>
                    <w:p w14:paraId="08A072A7" w14:textId="77777777" w:rsidR="008D2AF0" w:rsidRPr="00EC2C3B" w:rsidRDefault="000603E8" w:rsidP="008D2AF0">
                      <w:pPr>
                        <w:rPr>
                          <w:szCs w:val="18"/>
                        </w:rPr>
                      </w:pPr>
                      <w:r w:rsidRPr="00EC2C3B">
                        <w:rPr>
                          <w:noProof/>
                          <w:szCs w:val="18"/>
                        </w:rPr>
                        <w:lastRenderedPageBreak/>
                        <w:t>Directrice</w:t>
                      </w:r>
                    </w:p>
                  </w:tc>
                </w:tr>
                <w:tr w:rsidR="00B649D6" w14:paraId="0E12AEAC" w14:textId="77777777" w:rsidTr="008D2AF0">
                  <w:trPr>
                    <w:trHeight w:val="288"/>
                  </w:trPr>
                  <w:tc>
                    <w:tcPr>
                      <w:tcW w:w="10975" w:type="dxa"/>
                      <w:vAlign w:val="center"/>
                    </w:tcPr>
                    <w:p w14:paraId="57E883BC" w14:textId="77777777" w:rsidR="008D2AF0" w:rsidRPr="00EC2C3B" w:rsidRDefault="000603E8" w:rsidP="008D2AF0">
                      <w:pPr>
                        <w:rPr>
                          <w:szCs w:val="18"/>
                        </w:rPr>
                      </w:pPr>
                      <w:r w:rsidRPr="00EC2C3B">
                        <w:rPr>
                          <w:noProof/>
                          <w:szCs w:val="18"/>
                        </w:rPr>
                        <w:t>marilinediara@yahoo.fr</w:t>
                      </w:r>
                    </w:p>
                  </w:tc>
                </w:tr>
              </w:tbl>
              <w:p w14:paraId="7DC3BB1F" w14:textId="77777777" w:rsidR="008D2AF0" w:rsidRPr="00A23AC8" w:rsidRDefault="008D2AF0" w:rsidP="008D2AF0">
                <w:pPr>
                  <w:rPr>
                    <w:b/>
                    <w:color w:val="172D5F"/>
                    <w:sz w:val="18"/>
                    <w:szCs w:val="18"/>
                  </w:rPr>
                </w:pPr>
              </w:p>
            </w:tc>
          </w:tr>
          <w:tr w:rsidR="00B649D6" w14:paraId="27A7697D" w14:textId="77777777" w:rsidTr="00C52DA8">
            <w:trPr>
              <w:trHeight w:val="369"/>
            </w:trPr>
            <w:tc>
              <w:tcPr>
                <w:tcW w:w="10800" w:type="dxa"/>
                <w:shd w:val="clear" w:color="auto" w:fill="F7F7F7"/>
                <w:vAlign w:val="center"/>
              </w:tcPr>
              <w:p w14:paraId="52E7F4CE" w14:textId="77777777" w:rsidR="00A23AC8" w:rsidRPr="00903FE7" w:rsidRDefault="00A23AC8" w:rsidP="008D2AF0">
                <w:pPr>
                  <w:rPr>
                    <w:b/>
                    <w:color w:val="172D5F"/>
                    <w:sz w:val="2"/>
                    <w:szCs w:val="2"/>
                  </w:rPr>
                </w:pPr>
              </w:p>
            </w:tc>
          </w:tr>
          <w:tr w:rsidR="00B649D6" w14:paraId="36C3C503" w14:textId="77777777" w:rsidTr="00C52DA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78"/>
            </w:trPr>
            <w:tc>
              <w:tcPr>
                <w:tcW w:w="10800" w:type="dxa"/>
                <w:tcBorders>
                  <w:top w:val="nil"/>
                  <w:left w:val="single" w:sz="24" w:space="0" w:color="BFBFBF"/>
                  <w:bottom w:val="nil"/>
                  <w:right w:val="nil"/>
                </w:tcBorders>
                <w:shd w:val="clear" w:color="auto" w:fill="F2F2F2"/>
                <w:vAlign w:val="center"/>
                <w:hideMark/>
              </w:tcPr>
              <w:p w14:paraId="5C86B467" w14:textId="77777777" w:rsidR="00C52DA8" w:rsidRDefault="000603E8" w:rsidP="008437E6">
                <w:pPr>
                  <w:keepNext/>
                  <w:rPr>
                    <w:rFonts w:eastAsia="Times New Roman"/>
                  </w:rPr>
                </w:pPr>
                <w:r w:rsidRPr="00EC2C3B">
                  <w:rPr>
                    <w:b/>
                    <w:bCs/>
                  </w:rPr>
                  <w:t>FOR MORE INFORMATION CONTACT</w:t>
                </w:r>
              </w:p>
            </w:tc>
          </w:tr>
        </w:tbl>
        <w:p w14:paraId="0F69C5A8" w14:textId="77777777" w:rsidR="00A23AC8" w:rsidRPr="00227066" w:rsidRDefault="00A23AC8" w:rsidP="00C52DA8">
          <w:pPr>
            <w:keepNext/>
            <w:shd w:val="clear" w:color="auto" w:fill="F7F7F7"/>
            <w:spacing w:after="0" w:line="240" w:lineRule="auto"/>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CellMar>
              <w:left w:w="0" w:type="dxa"/>
              <w:right w:w="0" w:type="dxa"/>
            </w:tblCellMar>
            <w:tblLook w:val="04A0" w:firstRow="1" w:lastRow="0" w:firstColumn="1" w:lastColumn="0" w:noHBand="0" w:noVBand="1"/>
          </w:tblPr>
          <w:tblGrid>
            <w:gridCol w:w="10800"/>
          </w:tblGrid>
          <w:tr w:rsidR="00B649D6" w14:paraId="5E4AB895" w14:textId="77777777" w:rsidTr="00ED6D99">
            <w:trPr>
              <w:trHeight w:val="576"/>
            </w:trPr>
            <w:tc>
              <w:tcPr>
                <w:tcW w:w="10800" w:type="dxa"/>
                <w:shd w:val="clear" w:color="auto" w:fill="F7F7F7"/>
                <w:tcMar>
                  <w:top w:w="115" w:type="dxa"/>
                  <w:left w:w="115" w:type="dxa"/>
                </w:tcMar>
                <w:vAlign w:val="center"/>
              </w:tcPr>
              <w:p w14:paraId="67D06F08"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The World Bank</w:t>
                </w:r>
              </w:p>
              <w:p w14:paraId="42407E2B"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1818 H Street, NW</w:t>
                </w:r>
              </w:p>
              <w:p w14:paraId="3F34FF8D"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Washington, D.C. 20433</w:t>
                </w:r>
              </w:p>
              <w:p w14:paraId="6F3CAC72" w14:textId="77777777" w:rsidR="008D2AF0" w:rsidRPr="00EC2C3B" w:rsidRDefault="000603E8" w:rsidP="00C52DA8">
                <w:pPr>
                  <w:keepNext/>
                  <w:spacing w:line="276" w:lineRule="auto"/>
                  <w:rPr>
                    <w:rFonts w:cs="Times New Roman"/>
                    <w:color w:val="0D0D0D" w:themeColor="text1" w:themeTint="F2"/>
                  </w:rPr>
                </w:pPr>
                <w:r w:rsidRPr="00EC2C3B">
                  <w:rPr>
                    <w:rFonts w:cs="Times New Roman"/>
                    <w:color w:val="0D0D0D" w:themeColor="text1" w:themeTint="F2"/>
                  </w:rPr>
                  <w:t>Telephone: (202) 4</w:t>
                </w:r>
                <w:r w:rsidR="00B6015C">
                  <w:rPr>
                    <w:rFonts w:cs="Times New Roman"/>
                    <w:color w:val="0D0D0D" w:themeColor="text1" w:themeTint="F2"/>
                  </w:rPr>
                  <w:t>73</w:t>
                </w:r>
                <w:r w:rsidRPr="00EC2C3B">
                  <w:rPr>
                    <w:rFonts w:cs="Times New Roman"/>
                    <w:color w:val="0D0D0D" w:themeColor="text1" w:themeTint="F2"/>
                  </w:rPr>
                  <w:t>-</w:t>
                </w:r>
                <w:r w:rsidR="00B6015C">
                  <w:rPr>
                    <w:rFonts w:cs="Times New Roman"/>
                    <w:color w:val="0D0D0D" w:themeColor="text1" w:themeTint="F2"/>
                  </w:rPr>
                  <w:t>10</w:t>
                </w:r>
                <w:r w:rsidRPr="00EC2C3B">
                  <w:rPr>
                    <w:rFonts w:cs="Times New Roman"/>
                    <w:color w:val="0D0D0D" w:themeColor="text1" w:themeTint="F2"/>
                  </w:rPr>
                  <w:t>00</w:t>
                </w:r>
              </w:p>
              <w:p w14:paraId="05B084A8" w14:textId="77777777" w:rsidR="008D2AF0" w:rsidRPr="00EC2C3B" w:rsidRDefault="000603E8" w:rsidP="008D2AF0">
                <w:pPr>
                  <w:spacing w:line="276" w:lineRule="auto"/>
                  <w:rPr>
                    <w:rFonts w:cs="Times New Roman"/>
                    <w:color w:val="0D0D0D" w:themeColor="text1" w:themeTint="F2"/>
                  </w:rPr>
                </w:pPr>
                <w:r w:rsidRPr="00EC2C3B">
                  <w:rPr>
                    <w:rFonts w:cs="Times New Roman"/>
                    <w:color w:val="0D0D0D" w:themeColor="text1" w:themeTint="F2"/>
                  </w:rPr>
                  <w:t xml:space="preserve">Web: </w:t>
                </w:r>
                <w:hyperlink r:id="rId16" w:history="1">
                  <w:r w:rsidR="00B6015C" w:rsidRPr="008360AA">
                    <w:rPr>
                      <w:rStyle w:val="Hyperlink"/>
                    </w:rPr>
                    <w:t>http://www.worldbank.org/</w:t>
                  </w:r>
                  <w:r w:rsidR="00B6015C" w:rsidRPr="008360AA">
                    <w:rPr>
                      <w:rStyle w:val="Hyperlink"/>
                      <w:rFonts w:cstheme="minorBidi"/>
                    </w:rPr>
                    <w:t>projects</w:t>
                  </w:r>
                </w:hyperlink>
                <w:r w:rsidR="00B6015C">
                  <w:t xml:space="preserve"> </w:t>
                </w:r>
              </w:p>
              <w:p w14:paraId="5FDDE298" w14:textId="77777777" w:rsidR="008D2AF0" w:rsidRDefault="008D2AF0" w:rsidP="008D2AF0">
                <w:pPr>
                  <w:spacing w:line="276" w:lineRule="auto"/>
                  <w:rPr>
                    <w:b/>
                    <w:color w:val="172D5F"/>
                    <w:sz w:val="20"/>
                    <w:szCs w:val="20"/>
                  </w:rPr>
                </w:pPr>
              </w:p>
            </w:tc>
          </w:tr>
        </w:tbl>
        <w:p w14:paraId="73982463" w14:textId="77777777" w:rsidR="00A23AC8" w:rsidRPr="00227066" w:rsidRDefault="00A23AC8" w:rsidP="00ED6D99">
          <w:pPr>
            <w:shd w:val="clear" w:color="auto" w:fill="F7F7F7"/>
            <w:spacing w:after="0" w:line="240" w:lineRule="auto"/>
            <w:ind w:left="-691" w:right="-691"/>
          </w:pPr>
        </w:p>
        <w:tbl>
          <w:tblPr>
            <w:tblStyle w:val="TableGrid35"/>
            <w:tblW w:w="10800" w:type="dxa"/>
            <w:tblInd w:w="-720" w:type="dxa"/>
            <w:shd w:val="clear" w:color="auto" w:fill="F7F7F7"/>
            <w:tblLayout w:type="fixed"/>
            <w:tblLook w:val="04A0" w:firstRow="1" w:lastRow="0" w:firstColumn="1" w:lastColumn="0" w:noHBand="0" w:noVBand="1"/>
          </w:tblPr>
          <w:tblGrid>
            <w:gridCol w:w="10800"/>
          </w:tblGrid>
          <w:tr w:rsidR="00B649D6" w14:paraId="044D4435" w14:textId="77777777" w:rsidTr="00C711AC">
            <w:trPr>
              <w:trHeight w:val="432"/>
            </w:trPr>
            <w:tc>
              <w:tcPr>
                <w:tcW w:w="10800" w:type="dxa"/>
                <w:tcBorders>
                  <w:top w:val="nil"/>
                  <w:left w:val="single" w:sz="24" w:space="0" w:color="BFBFBF"/>
                  <w:bottom w:val="nil"/>
                  <w:right w:val="nil"/>
                </w:tcBorders>
                <w:shd w:val="clear" w:color="auto" w:fill="F2F2F2"/>
                <w:vAlign w:val="center"/>
                <w:hideMark/>
              </w:tcPr>
              <w:p w14:paraId="2EB8D843" w14:textId="77777777" w:rsidR="00C52DA8" w:rsidRDefault="000603E8" w:rsidP="008437E6">
                <w:pPr>
                  <w:keepNext/>
                  <w:rPr>
                    <w:rFonts w:eastAsia="Times New Roman"/>
                  </w:rPr>
                </w:pPr>
                <w:r w:rsidRPr="00EC2C3B">
                  <w:rPr>
                    <w:b/>
                    <w:bCs/>
                  </w:rPr>
                  <w:t>APPROVAL</w:t>
                </w:r>
              </w:p>
            </w:tc>
          </w:tr>
        </w:tbl>
        <w:p w14:paraId="233E4BC5" w14:textId="77777777" w:rsidR="00A23AC8" w:rsidRPr="00227066" w:rsidRDefault="00A23AC8" w:rsidP="00C52DA8">
          <w:pPr>
            <w:keepNext/>
            <w:shd w:val="clear" w:color="auto" w:fill="F7F7F7"/>
            <w:spacing w:after="0" w:line="240" w:lineRule="auto"/>
            <w:ind w:left="-691" w:right="-691"/>
          </w:pPr>
        </w:p>
        <w:tbl>
          <w:tblPr>
            <w:tblStyle w:val="TableGrid35"/>
            <w:tblW w:w="1080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800"/>
          </w:tblGrid>
          <w:tr w:rsidR="00B649D6" w14:paraId="3522C7DD" w14:textId="77777777" w:rsidTr="00ED6D99">
            <w:trPr>
              <w:trHeight w:val="576"/>
            </w:trPr>
            <w:tc>
              <w:tcPr>
                <w:tcW w:w="10800" w:type="dxa"/>
                <w:shd w:val="clear" w:color="auto" w:fill="F7F7F7"/>
                <w:tcMar>
                  <w:top w:w="115" w:type="dxa"/>
                </w:tcMar>
                <w:vAlign w:val="center"/>
              </w:tcPr>
              <w:tbl>
                <w:tblPr>
                  <w:tblStyle w:val="TableGrid35"/>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7444"/>
                </w:tblGrid>
                <w:tr w:rsidR="00B649D6" w14:paraId="7E1C7187" w14:textId="77777777" w:rsidTr="008D2AF0">
                  <w:trPr>
                    <w:trHeight w:val="439"/>
                  </w:trPr>
                  <w:tc>
                    <w:tcPr>
                      <w:tcW w:w="3505" w:type="dxa"/>
                      <w:vAlign w:val="center"/>
                    </w:tcPr>
                    <w:p w14:paraId="27ED85FB" w14:textId="77777777" w:rsidR="008D2AF0" w:rsidRPr="00EC2C3B" w:rsidRDefault="000603E8" w:rsidP="008D2AF0">
                      <w:r w:rsidRPr="00EC2C3B">
                        <w:rPr>
                          <w:color w:val="767171" w:themeColor="background2" w:themeShade="80"/>
                        </w:rPr>
                        <w:t>Task Team Leader(s):</w:t>
                      </w:r>
                    </w:p>
                  </w:tc>
                  <w:tc>
                    <w:tcPr>
                      <w:tcW w:w="7444" w:type="dxa"/>
                      <w:vAlign w:val="center"/>
                    </w:tcPr>
                    <w:p w14:paraId="5E39B79D" w14:textId="77777777" w:rsidR="008D2AF0" w:rsidRPr="00EC2C3B" w:rsidRDefault="000603E8" w:rsidP="008D2AF0">
                      <w:r w:rsidRPr="00EC2C3B">
                        <w:rPr>
                          <w:noProof/>
                        </w:rPr>
                        <w:t>Abdelaziz Lagnaoui</w:t>
                      </w:r>
                    </w:p>
                    <w:p w14:paraId="6745DC2C" w14:textId="77777777" w:rsidR="008D2AF0" w:rsidRPr="00EC2C3B" w:rsidRDefault="000603E8" w:rsidP="008D2AF0">
                      <w:r w:rsidRPr="00EC2C3B">
                        <w:rPr>
                          <w:noProof/>
                        </w:rPr>
                        <w:t>Ruxandra Maria Floroiu</w:t>
                      </w:r>
                    </w:p>
                  </w:tc>
                </w:tr>
              </w:tbl>
              <w:p w14:paraId="243C3750" w14:textId="77777777" w:rsidR="008D2AF0" w:rsidRPr="00EC2C3B" w:rsidRDefault="008D2AF0" w:rsidP="008D2AF0">
                <w:pPr>
                  <w:rPr>
                    <w:b/>
                    <w:color w:val="172D5F"/>
                  </w:rPr>
                </w:pPr>
              </w:p>
            </w:tc>
          </w:tr>
          <w:tr w:rsidR="00B649D6" w14:paraId="28A078E6" w14:textId="77777777" w:rsidTr="00ED6D99">
            <w:trPr>
              <w:trHeight w:val="576"/>
            </w:trPr>
            <w:tc>
              <w:tcPr>
                <w:tcW w:w="10800" w:type="dxa"/>
                <w:shd w:val="clear" w:color="auto" w:fill="F7F7F7"/>
                <w:vAlign w:val="center"/>
              </w:tcPr>
              <w:p w14:paraId="125A2DEC" w14:textId="77777777" w:rsidR="008D2AF0" w:rsidRPr="00EC2C3B" w:rsidRDefault="000603E8" w:rsidP="00EF7335">
                <w:pPr>
                  <w:keepNext/>
                  <w:rPr>
                    <w:b/>
                    <w:bCs/>
                  </w:rPr>
                </w:pPr>
                <w:r w:rsidRPr="00EC2C3B">
                  <w:rPr>
                    <w:b/>
                    <w:color w:val="172D5F"/>
                  </w:rPr>
                  <w:t xml:space="preserve">  Approved By</w:t>
                </w:r>
              </w:p>
            </w:tc>
          </w:tr>
          <w:tr w:rsidR="00B649D6" w14:paraId="6D1CA776" w14:textId="77777777" w:rsidTr="00ED6D99">
            <w:trPr>
              <w:trHeight w:val="576"/>
            </w:trPr>
            <w:tc>
              <w:tcPr>
                <w:tcW w:w="10800" w:type="dxa"/>
                <w:shd w:val="clear" w:color="auto" w:fill="F7F7F7"/>
                <w:vAlign w:val="center"/>
              </w:tcPr>
              <w:tbl>
                <w:tblPr>
                  <w:tblStyle w:val="TableGrid35"/>
                  <w:tblW w:w="10949"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Look w:val="04A0" w:firstRow="1" w:lastRow="0" w:firstColumn="1" w:lastColumn="0" w:noHBand="0" w:noVBand="1"/>
                </w:tblPr>
                <w:tblGrid>
                  <w:gridCol w:w="3505"/>
                  <w:gridCol w:w="3722"/>
                  <w:gridCol w:w="3722"/>
                </w:tblGrid>
                <w:tr w:rsidR="00B649D6" w14:paraId="5AEBA31B" w14:textId="77777777" w:rsidTr="008D2AF0">
                  <w:trPr>
                    <w:trHeight w:val="457"/>
                  </w:trPr>
                  <w:tc>
                    <w:tcPr>
                      <w:tcW w:w="3505" w:type="dxa"/>
                      <w:vAlign w:val="center"/>
                    </w:tcPr>
                    <w:p w14:paraId="2F4AD1F1" w14:textId="77777777" w:rsidR="008D2AF0" w:rsidRPr="00EC2C3B" w:rsidRDefault="000603E8" w:rsidP="008D2AF0">
                      <w:r w:rsidRPr="00D36B79">
                        <w:rPr>
                          <w:color w:val="767171" w:themeColor="background2" w:themeShade="80"/>
                        </w:rPr>
                        <w:t>Environmental and Social Standards Advisor</w:t>
                      </w:r>
                      <w:r w:rsidRPr="00EC2C3B">
                        <w:rPr>
                          <w:color w:val="767171" w:themeColor="background2" w:themeShade="80"/>
                        </w:rPr>
                        <w:t>:</w:t>
                      </w:r>
                    </w:p>
                  </w:tc>
                  <w:tc>
                    <w:tcPr>
                      <w:tcW w:w="3722" w:type="dxa"/>
                      <w:vAlign w:val="center"/>
                    </w:tcPr>
                    <w:p w14:paraId="6464E1D7" w14:textId="77777777" w:rsidR="008D2AF0" w:rsidRPr="00EC2C3B" w:rsidRDefault="008D2AF0" w:rsidP="008D2AF0"/>
                  </w:tc>
                  <w:tc>
                    <w:tcPr>
                      <w:tcW w:w="3722" w:type="dxa"/>
                      <w:vAlign w:val="center"/>
                    </w:tcPr>
                    <w:p w14:paraId="0D38E667" w14:textId="77777777" w:rsidR="008D2AF0" w:rsidRPr="00EC2C3B" w:rsidRDefault="008D2AF0" w:rsidP="008D2AF0"/>
                  </w:tc>
                </w:tr>
                <w:tr w:rsidR="00B649D6" w14:paraId="727110C2" w14:textId="77777777" w:rsidTr="008D2AF0">
                  <w:trPr>
                    <w:trHeight w:val="457"/>
                  </w:trPr>
                  <w:tc>
                    <w:tcPr>
                      <w:tcW w:w="3505" w:type="dxa"/>
                      <w:vAlign w:val="center"/>
                    </w:tcPr>
                    <w:p w14:paraId="1CDD2AA9" w14:textId="77777777" w:rsidR="008D2AF0" w:rsidRPr="00EC2C3B" w:rsidRDefault="000603E8" w:rsidP="008D2AF0">
                      <w:pPr>
                        <w:rPr>
                          <w:color w:val="767171" w:themeColor="background2" w:themeShade="80"/>
                        </w:rPr>
                      </w:pPr>
                      <w:r w:rsidRPr="00EC2C3B">
                        <w:rPr>
                          <w:color w:val="767171" w:themeColor="background2" w:themeShade="80"/>
                        </w:rPr>
                        <w:t>Practice Manager/Manager:</w:t>
                      </w:r>
                    </w:p>
                  </w:tc>
                  <w:tc>
                    <w:tcPr>
                      <w:tcW w:w="3722" w:type="dxa"/>
                      <w:vAlign w:val="center"/>
                    </w:tcPr>
                    <w:p w14:paraId="6BBA65CA" w14:textId="77777777" w:rsidR="008D2AF0" w:rsidRPr="00EC2C3B" w:rsidRDefault="008D2AF0" w:rsidP="008D2AF0"/>
                  </w:tc>
                  <w:tc>
                    <w:tcPr>
                      <w:tcW w:w="3722" w:type="dxa"/>
                      <w:vAlign w:val="center"/>
                    </w:tcPr>
                    <w:p w14:paraId="68DFF2C3" w14:textId="77777777" w:rsidR="008D2AF0" w:rsidRPr="00EC2C3B" w:rsidRDefault="008D2AF0" w:rsidP="008D2AF0"/>
                  </w:tc>
                </w:tr>
                <w:tr w:rsidR="00B649D6" w14:paraId="0DEDC560" w14:textId="77777777" w:rsidTr="008D2AF0">
                  <w:trPr>
                    <w:trHeight w:val="457"/>
                  </w:trPr>
                  <w:tc>
                    <w:tcPr>
                      <w:tcW w:w="3505" w:type="dxa"/>
                      <w:vAlign w:val="center"/>
                    </w:tcPr>
                    <w:p w14:paraId="769CCE38" w14:textId="77777777" w:rsidR="008D2AF0" w:rsidRPr="00EC2C3B" w:rsidRDefault="000603E8" w:rsidP="008D2AF0">
                      <w:pPr>
                        <w:rPr>
                          <w:color w:val="767171" w:themeColor="background2" w:themeShade="80"/>
                        </w:rPr>
                      </w:pPr>
                      <w:r w:rsidRPr="00EC2C3B">
                        <w:rPr>
                          <w:color w:val="767171" w:themeColor="background2" w:themeShade="80"/>
                        </w:rPr>
                        <w:t>Country Director:</w:t>
                      </w:r>
                    </w:p>
                  </w:tc>
                  <w:tc>
                    <w:tcPr>
                      <w:tcW w:w="3722" w:type="dxa"/>
                      <w:vAlign w:val="center"/>
                    </w:tcPr>
                    <w:p w14:paraId="78A04256" w14:textId="77777777" w:rsidR="008D2AF0" w:rsidRPr="00EC2C3B" w:rsidRDefault="008D2AF0" w:rsidP="008D2AF0"/>
                  </w:tc>
                  <w:tc>
                    <w:tcPr>
                      <w:tcW w:w="3722" w:type="dxa"/>
                      <w:vAlign w:val="center"/>
                    </w:tcPr>
                    <w:p w14:paraId="371DD128" w14:textId="77777777" w:rsidR="008D2AF0" w:rsidRPr="00EC2C3B" w:rsidRDefault="008D2AF0" w:rsidP="008D2AF0"/>
                  </w:tc>
                </w:tr>
              </w:tbl>
              <w:p w14:paraId="75B99F2E" w14:textId="77777777" w:rsidR="008D2AF0" w:rsidRPr="00EC2C3B" w:rsidRDefault="008D2AF0" w:rsidP="008D2AF0">
                <w:pPr>
                  <w:rPr>
                    <w:b/>
                    <w:color w:val="172D5F"/>
                  </w:rPr>
                </w:pPr>
              </w:p>
            </w:tc>
          </w:tr>
        </w:tbl>
        <w:p w14:paraId="7F514E87" w14:textId="77777777" w:rsidR="00A23AC8" w:rsidRPr="00227066" w:rsidRDefault="00A23AC8" w:rsidP="00EF7335">
          <w:pPr>
            <w:shd w:val="clear" w:color="auto" w:fill="F7F7F7"/>
            <w:spacing w:after="0" w:line="240" w:lineRule="auto"/>
            <w:ind w:left="-691" w:right="-691"/>
          </w:pPr>
        </w:p>
        <w:sdt>
          <w:sdtPr>
            <w:tag w:val="OPS_CORE_SECTION_END_4"/>
            <w:id w:val="1174222605"/>
            <w:lock w:val="sdtContentLocked"/>
            <w:placeholder>
              <w:docPart w:val="7E5BB87C5F0F45ED83849867B9C8F9E1"/>
            </w:placeholder>
          </w:sdtPr>
          <w:sdtEndPr/>
          <w:sdtContent>
            <w:p w14:paraId="6D3E8A33" w14:textId="77777777" w:rsidR="00ED6D99" w:rsidRDefault="000603E8" w:rsidP="00B045DB">
              <w:pPr>
                <w:shd w:val="clear" w:color="auto" w:fill="FFFFFF" w:themeFill="background1"/>
                <w:spacing w:after="0" w:line="14" w:lineRule="exact"/>
                <w:ind w:left="-691" w:right="-691"/>
              </w:pPr>
              <w:r>
                <w:t xml:space="preserve"> </w:t>
              </w:r>
            </w:p>
          </w:sdtContent>
        </w:sdt>
      </w:sdtContent>
    </w:sdt>
    <w:p w14:paraId="1348BBCB" w14:textId="77777777" w:rsidR="00ED6D99" w:rsidRDefault="00ED6D99" w:rsidP="00141FC0">
      <w:pPr>
        <w:shd w:val="clear" w:color="auto" w:fill="FFFFFF" w:themeFill="background1"/>
        <w:spacing w:after="0" w:line="14" w:lineRule="exact"/>
        <w:ind w:left="-691" w:right="-691"/>
      </w:pPr>
    </w:p>
    <w:p w14:paraId="6859188F" w14:textId="77777777" w:rsidR="00ED6D99" w:rsidRDefault="00ED6D99" w:rsidP="00141FC0">
      <w:pPr>
        <w:shd w:val="clear" w:color="auto" w:fill="FFFFFF" w:themeFill="background1"/>
        <w:spacing w:after="0" w:line="14" w:lineRule="exact"/>
        <w:ind w:left="-691" w:right="-691"/>
        <w:sectPr w:rsidR="00ED6D99" w:rsidSect="008D2AF0">
          <w:headerReference w:type="default" r:id="rId17"/>
          <w:footerReference w:type="default" r:id="rId18"/>
          <w:type w:val="continuous"/>
          <w:pgSz w:w="12240" w:h="15840"/>
          <w:pgMar w:top="1440" w:right="1440" w:bottom="1440" w:left="1440" w:header="720" w:footer="720" w:gutter="0"/>
          <w:cols w:space="720"/>
          <w:docGrid w:linePitch="360"/>
        </w:sectPr>
      </w:pPr>
    </w:p>
    <w:p w14:paraId="3D102088" w14:textId="77777777" w:rsidR="00EF7335" w:rsidRPr="002230F4" w:rsidRDefault="000603E8" w:rsidP="00EF7335">
      <w:pPr>
        <w:spacing w:after="0" w:line="240" w:lineRule="auto"/>
        <w:ind w:left="-691" w:right="-691"/>
      </w:pPr>
      <w:r>
        <w:rPr>
          <w:noProof/>
        </w:rPr>
        <mc:AlternateContent>
          <mc:Choice Requires="wps">
            <w:drawing>
              <wp:anchor distT="0" distB="0" distL="114300" distR="114300" simplePos="0" relativeHeight="251662336" behindDoc="0" locked="0" layoutInCell="1" allowOverlap="1" wp14:anchorId="68A2755B" wp14:editId="3B7D23A9">
                <wp:simplePos x="0" y="0"/>
                <wp:positionH relativeFrom="column">
                  <wp:posOffset>-919109</wp:posOffset>
                </wp:positionH>
                <wp:positionV relativeFrom="paragraph">
                  <wp:posOffset>170180</wp:posOffset>
                </wp:positionV>
                <wp:extent cx="7799705" cy="0"/>
                <wp:effectExtent l="0" t="0" r="10795" b="19050"/>
                <wp:wrapNone/>
                <wp:docPr id="28" name="Straight Connector 28"/>
                <wp:cNvGraphicFramePr/>
                <a:graphic xmlns:a="http://schemas.openxmlformats.org/drawingml/2006/main">
                  <a:graphicData uri="http://schemas.microsoft.com/office/word/2010/wordprocessingShape">
                    <wps:wsp>
                      <wps:cNvCnPr/>
                      <wps:spPr>
                        <a:xfrm>
                          <a:off x="0" y="0"/>
                          <a:ext cx="779970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Straight Connector 28" o:spid="_x0000_s1029" style="mso-width-percent:0;mso-width-relative:margin;mso-wrap-distance-bottom:0;mso-wrap-distance-left:9pt;mso-wrap-distance-right:9pt;mso-wrap-distance-top:0;mso-wrap-style:square;position:absolute;visibility:visible;z-index:251663360" from="-72.35pt,13.4pt" to="541.8pt,13.4pt" strokecolor="gray">
                <v:stroke joinstyle="miter" dashstyle="dash" opacity="26214f"/>
              </v:line>
            </w:pict>
          </mc:Fallback>
        </mc:AlternateContent>
      </w:r>
    </w:p>
    <w:p w14:paraId="2EBCE18A" w14:textId="77777777" w:rsidR="00EF7335" w:rsidRDefault="00EF7335" w:rsidP="00EF7335">
      <w:pPr>
        <w:spacing w:after="0" w:line="240" w:lineRule="auto"/>
        <w:ind w:left="-691" w:right="-691"/>
      </w:pPr>
    </w:p>
    <w:p w14:paraId="7415F327" w14:textId="4FF37D4D" w:rsidR="00D05B13" w:rsidRDefault="00D05B13" w:rsidP="00ED6D99">
      <w:pPr>
        <w:spacing w:after="0" w:line="240" w:lineRule="auto"/>
        <w:ind w:left="-691" w:right="-691"/>
      </w:pPr>
      <w:r>
        <w:br w:type="page"/>
      </w:r>
    </w:p>
    <w:p w14:paraId="4B1ADC79" w14:textId="2E318232" w:rsidR="00ED6D99" w:rsidRPr="00D70D43" w:rsidRDefault="00D70D43" w:rsidP="00D70D43">
      <w:pPr>
        <w:spacing w:after="0" w:line="240" w:lineRule="auto"/>
        <w:ind w:left="-691" w:right="-691"/>
        <w:jc w:val="center"/>
        <w:rPr>
          <w:b/>
        </w:rPr>
      </w:pPr>
      <w:r w:rsidRPr="00D70D43">
        <w:rPr>
          <w:b/>
        </w:rPr>
        <w:lastRenderedPageBreak/>
        <w:t>ANNEX 1: GEF Technical Annex</w:t>
      </w:r>
      <w:r>
        <w:rPr>
          <w:b/>
        </w:rPr>
        <w:t>: Detailed Child Project Description by Country</w:t>
      </w:r>
    </w:p>
    <w:p w14:paraId="097719B6" w14:textId="77777777" w:rsidR="00DC51F2" w:rsidRDefault="00DC51F2" w:rsidP="00D70D43">
      <w:pPr>
        <w:rPr>
          <w:rFonts w:ascii="Calibri" w:eastAsia="Times New Roman" w:hAnsi="Calibri" w:cs="Calibri"/>
          <w:b/>
          <w:bCs/>
        </w:rPr>
      </w:pPr>
    </w:p>
    <w:p w14:paraId="7EBA9C21" w14:textId="0D68D319" w:rsidR="00D70D43" w:rsidRPr="00B50D1D" w:rsidRDefault="00D70D43" w:rsidP="00D70D43">
      <w:pPr>
        <w:rPr>
          <w:rFonts w:ascii="Calibri" w:eastAsia="Times New Roman" w:hAnsi="Calibri" w:cs="Calibri"/>
          <w:b/>
          <w:bCs/>
        </w:rPr>
      </w:pPr>
      <w:r w:rsidRPr="00B50D1D">
        <w:rPr>
          <w:rFonts w:ascii="Calibri" w:eastAsia="Times New Roman" w:hAnsi="Calibri" w:cs="Calibri"/>
          <w:b/>
          <w:bCs/>
        </w:rPr>
        <w:t>Regional Project (P167788)</w:t>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D70D43" w14:paraId="40A47A99" w14:textId="77777777" w:rsidTr="007463F5">
        <w:trPr>
          <w:trHeight w:val="479"/>
        </w:trPr>
        <w:tc>
          <w:tcPr>
            <w:tcW w:w="1264" w:type="dxa"/>
            <w:shd w:val="clear" w:color="auto" w:fill="auto"/>
          </w:tcPr>
          <w:p w14:paraId="5804999E"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Country</w:t>
            </w:r>
          </w:p>
        </w:tc>
        <w:tc>
          <w:tcPr>
            <w:tcW w:w="4766" w:type="dxa"/>
            <w:shd w:val="clear" w:color="auto" w:fill="auto"/>
          </w:tcPr>
          <w:p w14:paraId="43863783" w14:textId="0141D65A" w:rsidR="00D70D43" w:rsidRPr="00B50D1D" w:rsidRDefault="00505736" w:rsidP="007463F5">
            <w:pPr>
              <w:rPr>
                <w:rFonts w:ascii="Calibri" w:eastAsia="Times New Roman" w:hAnsi="Calibri" w:cs="Calibri"/>
                <w:b/>
                <w:bCs/>
              </w:rPr>
            </w:pPr>
            <w:r>
              <w:rPr>
                <w:rFonts w:ascii="Calibri" w:eastAsia="Times New Roman" w:hAnsi="Calibri" w:cs="Calibri"/>
                <w:b/>
                <w:bCs/>
              </w:rPr>
              <w:t xml:space="preserve">Child </w:t>
            </w:r>
            <w:r w:rsidR="00D70D43" w:rsidRPr="00B50D1D">
              <w:rPr>
                <w:rFonts w:ascii="Calibri" w:eastAsia="Times New Roman" w:hAnsi="Calibri" w:cs="Calibri"/>
                <w:b/>
                <w:bCs/>
              </w:rPr>
              <w:t>Project Title</w:t>
            </w:r>
          </w:p>
        </w:tc>
        <w:tc>
          <w:tcPr>
            <w:tcW w:w="1890" w:type="dxa"/>
            <w:shd w:val="clear" w:color="auto" w:fill="auto"/>
          </w:tcPr>
          <w:p w14:paraId="0F0C72C3"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 xml:space="preserve">GEF Amount ($) Project </w:t>
            </w:r>
          </w:p>
        </w:tc>
        <w:tc>
          <w:tcPr>
            <w:tcW w:w="1440" w:type="dxa"/>
          </w:tcPr>
          <w:p w14:paraId="6B9B51F8" w14:textId="77777777" w:rsidR="00D70D43" w:rsidRPr="00B50D1D" w:rsidRDefault="00D70D43" w:rsidP="007463F5">
            <w:pPr>
              <w:rPr>
                <w:rFonts w:ascii="Calibri" w:eastAsia="Times New Roman" w:hAnsi="Calibri" w:cs="Calibri"/>
                <w:b/>
                <w:bCs/>
              </w:rPr>
            </w:pPr>
          </w:p>
        </w:tc>
      </w:tr>
      <w:tr w:rsidR="00D70D43" w14:paraId="673F4926" w14:textId="77777777" w:rsidTr="007463F5">
        <w:trPr>
          <w:trHeight w:val="566"/>
        </w:trPr>
        <w:tc>
          <w:tcPr>
            <w:tcW w:w="1264" w:type="dxa"/>
            <w:shd w:val="clear" w:color="auto" w:fill="auto"/>
          </w:tcPr>
          <w:p w14:paraId="010021D1"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Tanzania</w:t>
            </w:r>
          </w:p>
        </w:tc>
        <w:tc>
          <w:tcPr>
            <w:tcW w:w="4766" w:type="dxa"/>
            <w:shd w:val="clear" w:color="auto" w:fill="auto"/>
          </w:tcPr>
          <w:p w14:paraId="7D1E076B"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 xml:space="preserve">Africa Environmental Health and Pollution Management </w:t>
            </w:r>
          </w:p>
        </w:tc>
        <w:tc>
          <w:tcPr>
            <w:tcW w:w="1890" w:type="dxa"/>
            <w:shd w:val="clear" w:color="auto" w:fill="auto"/>
          </w:tcPr>
          <w:p w14:paraId="040F926E"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7,339,450</w:t>
            </w:r>
          </w:p>
        </w:tc>
        <w:tc>
          <w:tcPr>
            <w:tcW w:w="1440" w:type="dxa"/>
          </w:tcPr>
          <w:p w14:paraId="64713D08" w14:textId="540D5A97"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A</w:t>
            </w:r>
          </w:p>
        </w:tc>
      </w:tr>
      <w:tr w:rsidR="00D70D43" w14:paraId="281323E5" w14:textId="77777777" w:rsidTr="007463F5">
        <w:trPr>
          <w:trHeight w:val="710"/>
        </w:trPr>
        <w:tc>
          <w:tcPr>
            <w:tcW w:w="1264" w:type="dxa"/>
            <w:shd w:val="clear" w:color="auto" w:fill="auto"/>
          </w:tcPr>
          <w:p w14:paraId="01E63091"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Ghana</w:t>
            </w:r>
          </w:p>
        </w:tc>
        <w:tc>
          <w:tcPr>
            <w:tcW w:w="4766" w:type="dxa"/>
            <w:shd w:val="clear" w:color="auto" w:fill="auto"/>
          </w:tcPr>
          <w:p w14:paraId="76E1E484" w14:textId="77777777" w:rsidR="00D70D43" w:rsidRPr="00B50D1D" w:rsidRDefault="00D70D43" w:rsidP="007463F5">
            <w:pPr>
              <w:tabs>
                <w:tab w:val="center" w:pos="4680"/>
                <w:tab w:val="right" w:pos="9360"/>
              </w:tabs>
              <w:snapToGrid w:val="0"/>
              <w:spacing w:after="80"/>
              <w:rPr>
                <w:rFonts w:ascii="Calibri" w:eastAsia="Times New Roman" w:hAnsi="Calibri" w:cs="Calibri"/>
                <w:b/>
              </w:rPr>
            </w:pPr>
            <w:r w:rsidRPr="00B50D1D">
              <w:rPr>
                <w:rFonts w:ascii="Calibri" w:eastAsia="Times New Roman" w:hAnsi="Calibri" w:cs="Calibri"/>
              </w:rPr>
              <w:t>Africa Environmental Health and Pollution Management</w:t>
            </w:r>
          </w:p>
        </w:tc>
        <w:tc>
          <w:tcPr>
            <w:tcW w:w="1890" w:type="dxa"/>
            <w:shd w:val="clear" w:color="auto" w:fill="auto"/>
          </w:tcPr>
          <w:p w14:paraId="5308A4D9"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8,715,596</w:t>
            </w:r>
          </w:p>
        </w:tc>
        <w:tc>
          <w:tcPr>
            <w:tcW w:w="1440" w:type="dxa"/>
          </w:tcPr>
          <w:p w14:paraId="0DA90435" w14:textId="24C6F792"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B</w:t>
            </w:r>
          </w:p>
        </w:tc>
      </w:tr>
      <w:tr w:rsidR="00D70D43" w14:paraId="6C8B5B55" w14:textId="77777777" w:rsidTr="007463F5">
        <w:trPr>
          <w:trHeight w:val="712"/>
        </w:trPr>
        <w:tc>
          <w:tcPr>
            <w:tcW w:w="1264" w:type="dxa"/>
            <w:shd w:val="clear" w:color="auto" w:fill="auto"/>
          </w:tcPr>
          <w:p w14:paraId="0154DC57"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Zambia</w:t>
            </w:r>
          </w:p>
        </w:tc>
        <w:tc>
          <w:tcPr>
            <w:tcW w:w="4766" w:type="dxa"/>
            <w:shd w:val="clear" w:color="auto" w:fill="auto"/>
          </w:tcPr>
          <w:p w14:paraId="2F95A868"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Africa Environmental Health and Pollution Management</w:t>
            </w:r>
          </w:p>
        </w:tc>
        <w:tc>
          <w:tcPr>
            <w:tcW w:w="1890" w:type="dxa"/>
            <w:shd w:val="clear" w:color="auto" w:fill="auto"/>
          </w:tcPr>
          <w:p w14:paraId="1B6A7D78"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8,256,881</w:t>
            </w:r>
          </w:p>
        </w:tc>
        <w:tc>
          <w:tcPr>
            <w:tcW w:w="1440" w:type="dxa"/>
          </w:tcPr>
          <w:p w14:paraId="5F5C21D9" w14:textId="26F42A15"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C</w:t>
            </w:r>
          </w:p>
        </w:tc>
      </w:tr>
      <w:tr w:rsidR="00D70D43" w14:paraId="6A1E61D8" w14:textId="77777777" w:rsidTr="007463F5">
        <w:trPr>
          <w:trHeight w:val="723"/>
        </w:trPr>
        <w:tc>
          <w:tcPr>
            <w:tcW w:w="1264" w:type="dxa"/>
            <w:shd w:val="clear" w:color="auto" w:fill="auto"/>
          </w:tcPr>
          <w:p w14:paraId="393BB7C7"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Kenya</w:t>
            </w:r>
          </w:p>
        </w:tc>
        <w:tc>
          <w:tcPr>
            <w:tcW w:w="4766" w:type="dxa"/>
            <w:shd w:val="clear" w:color="auto" w:fill="auto"/>
          </w:tcPr>
          <w:p w14:paraId="43061659"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Africa Environmental Health and Pollution Management</w:t>
            </w:r>
          </w:p>
        </w:tc>
        <w:tc>
          <w:tcPr>
            <w:tcW w:w="1890" w:type="dxa"/>
            <w:shd w:val="clear" w:color="auto" w:fill="auto"/>
          </w:tcPr>
          <w:p w14:paraId="5B9431FE"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8,073,395</w:t>
            </w:r>
          </w:p>
        </w:tc>
        <w:tc>
          <w:tcPr>
            <w:tcW w:w="1440" w:type="dxa"/>
          </w:tcPr>
          <w:p w14:paraId="5F4EB90F" w14:textId="2E3617B0"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D</w:t>
            </w:r>
          </w:p>
        </w:tc>
      </w:tr>
      <w:tr w:rsidR="00D70D43" w14:paraId="2D76FE18" w14:textId="77777777" w:rsidTr="007463F5">
        <w:trPr>
          <w:trHeight w:val="723"/>
        </w:trPr>
        <w:tc>
          <w:tcPr>
            <w:tcW w:w="1264" w:type="dxa"/>
            <w:shd w:val="clear" w:color="auto" w:fill="auto"/>
          </w:tcPr>
          <w:p w14:paraId="2A9C7CCD"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Senegal</w:t>
            </w:r>
          </w:p>
        </w:tc>
        <w:tc>
          <w:tcPr>
            <w:tcW w:w="4766" w:type="dxa"/>
            <w:shd w:val="clear" w:color="auto" w:fill="auto"/>
          </w:tcPr>
          <w:p w14:paraId="506C9C70"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rPr>
              <w:t>Africa Environmental Health and Pollution Management</w:t>
            </w:r>
          </w:p>
        </w:tc>
        <w:tc>
          <w:tcPr>
            <w:tcW w:w="1890" w:type="dxa"/>
            <w:shd w:val="clear" w:color="auto" w:fill="auto"/>
          </w:tcPr>
          <w:p w14:paraId="71BA57F7"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5,504,587</w:t>
            </w:r>
          </w:p>
        </w:tc>
        <w:tc>
          <w:tcPr>
            <w:tcW w:w="1440" w:type="dxa"/>
          </w:tcPr>
          <w:p w14:paraId="14CD926C" w14:textId="30EFE4D6"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Annex </w:t>
            </w:r>
            <w:r w:rsidR="00DC51F2">
              <w:rPr>
                <w:rFonts w:ascii="Calibri" w:eastAsia="Times New Roman" w:hAnsi="Calibri" w:cs="Calibri"/>
                <w:bCs/>
              </w:rPr>
              <w:t>1</w:t>
            </w:r>
            <w:r w:rsidRPr="00B50D1D">
              <w:rPr>
                <w:rFonts w:ascii="Calibri" w:eastAsia="Times New Roman" w:hAnsi="Calibri" w:cs="Calibri"/>
                <w:bCs/>
              </w:rPr>
              <w:t>E</w:t>
            </w:r>
          </w:p>
        </w:tc>
      </w:tr>
      <w:tr w:rsidR="00D70D43" w14:paraId="00AB63CC" w14:textId="77777777" w:rsidTr="007463F5">
        <w:trPr>
          <w:trHeight w:val="723"/>
        </w:trPr>
        <w:tc>
          <w:tcPr>
            <w:tcW w:w="1264" w:type="dxa"/>
            <w:shd w:val="clear" w:color="auto" w:fill="auto"/>
          </w:tcPr>
          <w:p w14:paraId="48FEB5C9" w14:textId="77777777" w:rsidR="00D70D43" w:rsidRPr="00B50D1D" w:rsidRDefault="00D70D43" w:rsidP="007463F5">
            <w:pPr>
              <w:rPr>
                <w:rFonts w:ascii="Calibri" w:eastAsia="Times New Roman" w:hAnsi="Calibri" w:cs="Calibri"/>
                <w:bCs/>
              </w:rPr>
            </w:pPr>
          </w:p>
        </w:tc>
        <w:tc>
          <w:tcPr>
            <w:tcW w:w="4766" w:type="dxa"/>
            <w:shd w:val="clear" w:color="auto" w:fill="auto"/>
          </w:tcPr>
          <w:p w14:paraId="6E90BC67" w14:textId="77777777" w:rsidR="00D70D43" w:rsidRPr="00B50D1D" w:rsidRDefault="00D70D43" w:rsidP="007463F5">
            <w:pPr>
              <w:rPr>
                <w:rFonts w:ascii="Calibri" w:eastAsia="Times New Roman" w:hAnsi="Calibri" w:cs="Calibri"/>
                <w:b/>
              </w:rPr>
            </w:pPr>
            <w:r w:rsidRPr="00B50D1D">
              <w:rPr>
                <w:rFonts w:ascii="Calibri" w:eastAsia="Times New Roman" w:hAnsi="Calibri" w:cs="Calibri"/>
                <w:b/>
                <w:bCs/>
              </w:rPr>
              <w:t xml:space="preserve">Total Project Cost </w:t>
            </w:r>
          </w:p>
        </w:tc>
        <w:tc>
          <w:tcPr>
            <w:tcW w:w="1890" w:type="dxa"/>
            <w:shd w:val="clear" w:color="auto" w:fill="auto"/>
          </w:tcPr>
          <w:p w14:paraId="4198BA32"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37,889,909</w:t>
            </w:r>
          </w:p>
        </w:tc>
        <w:tc>
          <w:tcPr>
            <w:tcW w:w="1440" w:type="dxa"/>
          </w:tcPr>
          <w:p w14:paraId="1B2BF6E5" w14:textId="77777777" w:rsidR="00D70D43" w:rsidRPr="00B50D1D" w:rsidRDefault="00D70D43" w:rsidP="007463F5">
            <w:pPr>
              <w:rPr>
                <w:rFonts w:ascii="Calibri" w:eastAsia="Times New Roman" w:hAnsi="Calibri" w:cs="Calibri"/>
                <w:b/>
                <w:bCs/>
              </w:rPr>
            </w:pPr>
          </w:p>
        </w:tc>
      </w:tr>
    </w:tbl>
    <w:p w14:paraId="4A2029DA" w14:textId="77777777" w:rsidR="00D70D43" w:rsidRPr="00B50D1D" w:rsidRDefault="00D70D43" w:rsidP="00D70D43">
      <w:pPr>
        <w:rPr>
          <w:rFonts w:ascii="Calibri" w:eastAsia="Times New Roman" w:hAnsi="Calibri" w:cs="Calibri"/>
          <w:b/>
        </w:rPr>
      </w:pPr>
    </w:p>
    <w:p w14:paraId="47057F72" w14:textId="77777777" w:rsidR="00D70D43" w:rsidRPr="00B50D1D" w:rsidRDefault="00D70D43" w:rsidP="00D70D43">
      <w:pPr>
        <w:rPr>
          <w:rFonts w:ascii="Calibri" w:eastAsia="Times New Roman" w:hAnsi="Calibri" w:cs="Calibri"/>
          <w:b/>
        </w:rPr>
      </w:pPr>
      <w:r w:rsidRPr="00B50D1D">
        <w:rPr>
          <w:rFonts w:ascii="Calibri" w:eastAsia="Times New Roman" w:hAnsi="Calibri" w:cs="Calibri"/>
          <w:b/>
        </w:rPr>
        <w:t>Regional Coordination (P166233)</w:t>
      </w:r>
      <w:r>
        <w:rPr>
          <w:rFonts w:ascii="Calibri" w:eastAsia="Times New Roman" w:hAnsi="Calibri" w:cs="Calibri"/>
          <w:b/>
          <w:vertAlign w:val="superscript"/>
        </w:rPr>
        <w:footnoteReference w:id="25"/>
      </w:r>
    </w:p>
    <w:tbl>
      <w:tblPr>
        <w:tblW w:w="93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4"/>
        <w:gridCol w:w="4766"/>
        <w:gridCol w:w="1890"/>
        <w:gridCol w:w="1440"/>
      </w:tblGrid>
      <w:tr w:rsidR="00D70D43" w14:paraId="2C8A46D4" w14:textId="77777777" w:rsidTr="007463F5">
        <w:trPr>
          <w:trHeight w:val="723"/>
        </w:trPr>
        <w:tc>
          <w:tcPr>
            <w:tcW w:w="1264" w:type="dxa"/>
            <w:shd w:val="clear" w:color="auto" w:fill="auto"/>
          </w:tcPr>
          <w:p w14:paraId="38F7140D" w14:textId="0C8B0256" w:rsidR="00D70D43" w:rsidRDefault="00D70D43" w:rsidP="007463F5">
            <w:pPr>
              <w:rPr>
                <w:rFonts w:ascii="Calibri" w:eastAsia="Times New Roman" w:hAnsi="Calibri" w:cs="Calibri"/>
                <w:bCs/>
              </w:rPr>
            </w:pPr>
            <w:r w:rsidRPr="00B50D1D">
              <w:rPr>
                <w:rFonts w:ascii="Calibri" w:eastAsia="Times New Roman" w:hAnsi="Calibri" w:cs="Calibri"/>
                <w:bCs/>
              </w:rPr>
              <w:t>Regional</w:t>
            </w:r>
          </w:p>
          <w:p w14:paraId="4BE565B3" w14:textId="5623CDC1" w:rsidR="003C1755" w:rsidRPr="00B50D1D" w:rsidRDefault="003C1755" w:rsidP="007463F5">
            <w:pPr>
              <w:rPr>
                <w:rFonts w:ascii="Calibri" w:eastAsia="Times New Roman" w:hAnsi="Calibri" w:cs="Calibri"/>
                <w:bCs/>
              </w:rPr>
            </w:pPr>
            <w:r>
              <w:rPr>
                <w:rFonts w:ascii="Calibri" w:eastAsia="Times New Roman" w:hAnsi="Calibri" w:cs="Calibri"/>
                <w:bCs/>
              </w:rPr>
              <w:t>(GEF ID:</w:t>
            </w:r>
            <w:r w:rsidR="00B242B7">
              <w:rPr>
                <w:rFonts w:ascii="Calibri" w:eastAsia="Times New Roman" w:hAnsi="Calibri" w:cs="Calibri"/>
                <w:bCs/>
              </w:rPr>
              <w:t xml:space="preserve"> 9855)</w:t>
            </w:r>
          </w:p>
          <w:p w14:paraId="79C9162E" w14:textId="77777777" w:rsidR="00D70D43" w:rsidRPr="00B50D1D" w:rsidRDefault="00D70D43" w:rsidP="007463F5">
            <w:pPr>
              <w:rPr>
                <w:rFonts w:ascii="Calibri" w:eastAsia="Times New Roman" w:hAnsi="Calibri" w:cs="Calibri"/>
                <w:bCs/>
              </w:rPr>
            </w:pPr>
          </w:p>
        </w:tc>
        <w:tc>
          <w:tcPr>
            <w:tcW w:w="4766" w:type="dxa"/>
            <w:shd w:val="clear" w:color="auto" w:fill="auto"/>
          </w:tcPr>
          <w:p w14:paraId="3264CC49"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rPr>
              <w:t>Knowledge Exchange and Institutional partnerships to Reduce Environmental Health Risks a from Exposure to Harmful Chemicals and Waste</w:t>
            </w:r>
          </w:p>
        </w:tc>
        <w:tc>
          <w:tcPr>
            <w:tcW w:w="1890" w:type="dxa"/>
            <w:shd w:val="clear" w:color="auto" w:fill="auto"/>
          </w:tcPr>
          <w:p w14:paraId="5FFDE3CF" w14:textId="77777777" w:rsidR="00D70D43" w:rsidRPr="00B50D1D" w:rsidRDefault="00D70D43" w:rsidP="007463F5">
            <w:pPr>
              <w:rPr>
                <w:rFonts w:ascii="Calibri" w:eastAsia="Times New Roman" w:hAnsi="Calibri" w:cs="Calibri"/>
                <w:bCs/>
              </w:rPr>
            </w:pPr>
            <w:r w:rsidRPr="00B50D1D">
              <w:rPr>
                <w:rFonts w:ascii="Calibri" w:eastAsia="Times New Roman" w:hAnsi="Calibri" w:cs="Calibri"/>
                <w:bCs/>
              </w:rPr>
              <w:t>4,311,927</w:t>
            </w:r>
          </w:p>
        </w:tc>
        <w:tc>
          <w:tcPr>
            <w:tcW w:w="1440" w:type="dxa"/>
          </w:tcPr>
          <w:p w14:paraId="2A196D7E" w14:textId="0DAE60D4" w:rsidR="00D70D43" w:rsidRPr="00B50D1D" w:rsidRDefault="00D70D43" w:rsidP="007463F5">
            <w:pPr>
              <w:rPr>
                <w:rFonts w:ascii="Calibri" w:eastAsia="Times New Roman" w:hAnsi="Calibri" w:cs="Calibri"/>
                <w:bCs/>
              </w:rPr>
            </w:pPr>
            <w:r w:rsidRPr="00B50D1D">
              <w:rPr>
                <w:rFonts w:ascii="Calibri" w:eastAsia="Times New Roman" w:hAnsi="Calibri" w:cs="Calibri"/>
                <w:bCs/>
              </w:rPr>
              <w:t xml:space="preserve">Refer to separate </w:t>
            </w:r>
            <w:r w:rsidR="00B53EC6">
              <w:rPr>
                <w:rFonts w:ascii="Calibri" w:eastAsia="Times New Roman" w:hAnsi="Calibri" w:cs="Calibri"/>
                <w:bCs/>
              </w:rPr>
              <w:t xml:space="preserve">GEF </w:t>
            </w:r>
            <w:r w:rsidRPr="00B50D1D">
              <w:rPr>
                <w:rFonts w:ascii="Calibri" w:eastAsia="Times New Roman" w:hAnsi="Calibri" w:cs="Calibri"/>
                <w:bCs/>
              </w:rPr>
              <w:t>project document</w:t>
            </w:r>
            <w:r w:rsidR="00B242B7">
              <w:rPr>
                <w:rFonts w:ascii="Calibri" w:eastAsia="Times New Roman" w:hAnsi="Calibri" w:cs="Calibri"/>
                <w:bCs/>
              </w:rPr>
              <w:t xml:space="preserve"> </w:t>
            </w:r>
            <w:r w:rsidR="00B242B7">
              <w:rPr>
                <w:rFonts w:ascii="Calibri" w:eastAsia="Times New Roman" w:hAnsi="Calibri" w:cs="Calibri"/>
                <w:bCs/>
              </w:rPr>
              <w:t>(GEF ID: 9855)</w:t>
            </w:r>
          </w:p>
        </w:tc>
      </w:tr>
      <w:tr w:rsidR="00D70D43" w14:paraId="05C57F92" w14:textId="77777777" w:rsidTr="007463F5">
        <w:trPr>
          <w:trHeight w:val="244"/>
        </w:trPr>
        <w:tc>
          <w:tcPr>
            <w:tcW w:w="1264" w:type="dxa"/>
            <w:shd w:val="clear" w:color="auto" w:fill="auto"/>
          </w:tcPr>
          <w:p w14:paraId="4FCBF481" w14:textId="77777777" w:rsidR="00D70D43" w:rsidRPr="00B50D1D" w:rsidRDefault="00D70D43" w:rsidP="007463F5">
            <w:pPr>
              <w:rPr>
                <w:rFonts w:ascii="Calibri" w:eastAsia="Times New Roman" w:hAnsi="Calibri" w:cs="Calibri"/>
                <w:bCs/>
              </w:rPr>
            </w:pPr>
          </w:p>
        </w:tc>
        <w:tc>
          <w:tcPr>
            <w:tcW w:w="4766" w:type="dxa"/>
            <w:shd w:val="clear" w:color="auto" w:fill="auto"/>
          </w:tcPr>
          <w:p w14:paraId="5E6FC943" w14:textId="77777777" w:rsidR="00D70D43" w:rsidRPr="00B50D1D" w:rsidRDefault="00D70D43" w:rsidP="007463F5">
            <w:pPr>
              <w:rPr>
                <w:rFonts w:ascii="Calibri" w:eastAsia="Times New Roman" w:hAnsi="Calibri" w:cs="Calibri"/>
                <w:b/>
                <w:bCs/>
                <w:u w:val="single"/>
              </w:rPr>
            </w:pPr>
            <w:r w:rsidRPr="00B50D1D">
              <w:rPr>
                <w:rFonts w:ascii="Calibri" w:eastAsia="Times New Roman" w:hAnsi="Calibri" w:cs="Calibri"/>
                <w:b/>
                <w:bCs/>
                <w:u w:val="single"/>
              </w:rPr>
              <w:t>Total</w:t>
            </w:r>
          </w:p>
        </w:tc>
        <w:tc>
          <w:tcPr>
            <w:tcW w:w="1890" w:type="dxa"/>
            <w:shd w:val="clear" w:color="auto" w:fill="auto"/>
          </w:tcPr>
          <w:p w14:paraId="0188E55D" w14:textId="77777777" w:rsidR="00D70D43" w:rsidRPr="00B50D1D" w:rsidRDefault="00D70D43" w:rsidP="007463F5">
            <w:pPr>
              <w:rPr>
                <w:rFonts w:ascii="Calibri" w:eastAsia="Times New Roman" w:hAnsi="Calibri" w:cs="Calibri"/>
                <w:b/>
                <w:bCs/>
              </w:rPr>
            </w:pPr>
            <w:r w:rsidRPr="00B50D1D">
              <w:rPr>
                <w:rFonts w:ascii="Calibri" w:eastAsia="Times New Roman" w:hAnsi="Calibri" w:cs="Calibri"/>
                <w:b/>
                <w:bCs/>
              </w:rPr>
              <w:t>4,311,927</w:t>
            </w:r>
          </w:p>
        </w:tc>
        <w:tc>
          <w:tcPr>
            <w:tcW w:w="1440" w:type="dxa"/>
          </w:tcPr>
          <w:p w14:paraId="7BD3C1FA" w14:textId="77777777" w:rsidR="00D70D43" w:rsidRPr="00B50D1D" w:rsidRDefault="00D70D43" w:rsidP="007463F5">
            <w:pPr>
              <w:rPr>
                <w:rFonts w:ascii="Calibri" w:eastAsia="Times New Roman" w:hAnsi="Calibri" w:cs="Calibri"/>
                <w:b/>
                <w:bCs/>
              </w:rPr>
            </w:pPr>
          </w:p>
        </w:tc>
      </w:tr>
    </w:tbl>
    <w:p w14:paraId="04BBCAB3" w14:textId="77777777" w:rsidR="00D70D43" w:rsidRPr="00B50D1D" w:rsidRDefault="00D70D43" w:rsidP="00D70D43">
      <w:pPr>
        <w:rPr>
          <w:rFonts w:ascii="Times New Roman" w:eastAsia="Calibri" w:hAnsi="Times New Roman" w:cs="Times New Roman"/>
          <w:b/>
          <w:i/>
        </w:rPr>
      </w:pPr>
      <w:r w:rsidRPr="00B50D1D">
        <w:rPr>
          <w:rFonts w:ascii="Times New Roman" w:eastAsia="Calibri" w:hAnsi="Times New Roman" w:cs="Times New Roman"/>
          <w:b/>
          <w:i/>
        </w:rPr>
        <w:br w:type="page"/>
      </w:r>
    </w:p>
    <w:p w14:paraId="335BF385" w14:textId="71D2595C" w:rsidR="00D70D43" w:rsidRPr="00141F1F" w:rsidRDefault="00D70D43" w:rsidP="00D70D43">
      <w:pPr>
        <w:keepNext/>
        <w:ind w:left="-432" w:right="-432"/>
        <w:jc w:val="center"/>
        <w:rPr>
          <w:rFonts w:eastAsia="Calibri" w:cstheme="minorHAnsi"/>
          <w:b/>
          <w:i/>
        </w:rPr>
      </w:pPr>
      <w:r w:rsidRPr="00141F1F">
        <w:rPr>
          <w:rFonts w:eastAsia="Calibri" w:cstheme="minorHAnsi"/>
          <w:b/>
          <w:i/>
        </w:rPr>
        <w:lastRenderedPageBreak/>
        <w:t xml:space="preserve">ANNEX </w:t>
      </w:r>
      <w:r w:rsidR="000A7F66">
        <w:rPr>
          <w:rFonts w:eastAsia="Calibri" w:cstheme="minorHAnsi"/>
          <w:b/>
          <w:i/>
        </w:rPr>
        <w:t>1</w:t>
      </w:r>
      <w:r w:rsidRPr="00141F1F">
        <w:rPr>
          <w:rFonts w:eastAsia="Calibri" w:cstheme="minorHAnsi"/>
          <w:b/>
          <w:i/>
        </w:rPr>
        <w:t xml:space="preserve"> A:  PROJECT DESCRIPTION FOR TANZANIA (GEF ID: 9850)</w:t>
      </w:r>
    </w:p>
    <w:p w14:paraId="7DE91F5D" w14:textId="77777777" w:rsidR="000A7F66" w:rsidRDefault="00D70D43" w:rsidP="00D70D43">
      <w:pPr>
        <w:keepNext/>
        <w:ind w:left="-432" w:right="-432"/>
        <w:jc w:val="center"/>
        <w:rPr>
          <w:rFonts w:eastAsia="Calibri" w:cstheme="minorHAnsi"/>
        </w:rPr>
      </w:pPr>
      <w:r w:rsidRPr="00141F1F">
        <w:rPr>
          <w:rFonts w:eastAsia="Calibri" w:cstheme="minorHAnsi"/>
        </w:rPr>
        <w:t xml:space="preserve">PROPOSED GLOBAL ENVIRONMENT FACILITY GRANT </w:t>
      </w:r>
    </w:p>
    <w:p w14:paraId="6999FB86" w14:textId="41C6AD0A" w:rsidR="00D70D43" w:rsidRPr="00141F1F" w:rsidRDefault="00D70D43" w:rsidP="00D70D43">
      <w:pPr>
        <w:keepNext/>
        <w:ind w:left="-432" w:right="-432"/>
        <w:jc w:val="center"/>
        <w:rPr>
          <w:rFonts w:eastAsia="Calibri" w:cstheme="minorHAnsi"/>
        </w:rPr>
      </w:pPr>
      <w:r w:rsidRPr="00141F1F">
        <w:rPr>
          <w:rFonts w:eastAsia="Calibri" w:cstheme="minorHAnsi"/>
        </w:rPr>
        <w:t xml:space="preserve">TO THE REPUBLIC OF TANZANIA </w:t>
      </w:r>
    </w:p>
    <w:p w14:paraId="37C29BED" w14:textId="070D384A" w:rsidR="00D70D43" w:rsidRPr="00141F1F" w:rsidRDefault="00D70D43" w:rsidP="00D70D43">
      <w:pPr>
        <w:keepNext/>
        <w:ind w:left="-432" w:right="-432"/>
        <w:jc w:val="center"/>
        <w:rPr>
          <w:rFonts w:eastAsia="Calibri" w:cstheme="minorHAnsi"/>
          <w:b/>
          <w:i/>
        </w:rPr>
      </w:pPr>
      <w:r w:rsidRPr="00141F1F">
        <w:rPr>
          <w:rFonts w:eastAsia="Calibri" w:cstheme="minorHAnsi"/>
        </w:rPr>
        <w:t>IN THE AMOUNT OF</w:t>
      </w:r>
      <w:r w:rsidR="000A7F66">
        <w:rPr>
          <w:rFonts w:eastAsia="Calibri" w:cstheme="minorHAnsi"/>
        </w:rPr>
        <w:t xml:space="preserve"> </w:t>
      </w:r>
      <w:r w:rsidRPr="00141F1F">
        <w:rPr>
          <w:rFonts w:eastAsia="Calibri" w:cstheme="minorHAnsi"/>
        </w:rPr>
        <w:t>US$ 7,339,450</w:t>
      </w:r>
    </w:p>
    <w:p w14:paraId="3FE4B242" w14:textId="77777777" w:rsidR="00D70D43" w:rsidRPr="00141F1F" w:rsidRDefault="00D70D43" w:rsidP="00D70D43">
      <w:pPr>
        <w:keepNext/>
        <w:ind w:left="-432" w:right="-432"/>
        <w:jc w:val="both"/>
        <w:rPr>
          <w:rFonts w:eastAsia="Calibri" w:cstheme="minorHAnsi"/>
          <w:b/>
        </w:rPr>
      </w:pPr>
      <w:r w:rsidRPr="00141F1F">
        <w:rPr>
          <w:rFonts w:eastAsia="Calibri" w:cstheme="minorHAnsi"/>
          <w:b/>
        </w:rPr>
        <w:t xml:space="preserve">STRATEGIC CONTEXT </w:t>
      </w:r>
    </w:p>
    <w:p w14:paraId="43975BAD" w14:textId="77777777" w:rsidR="00D70D43" w:rsidRPr="00141F1F" w:rsidRDefault="00D70D43" w:rsidP="00D70D43">
      <w:pPr>
        <w:keepNext/>
        <w:ind w:left="-432" w:right="-432"/>
        <w:jc w:val="both"/>
        <w:rPr>
          <w:rFonts w:eastAsia="Calibri" w:cstheme="minorHAnsi"/>
          <w:b/>
        </w:rPr>
      </w:pPr>
      <w:r w:rsidRPr="00141F1F">
        <w:rPr>
          <w:rFonts w:eastAsia="Calibri" w:cstheme="minorHAnsi"/>
          <w:b/>
        </w:rPr>
        <w:t>A – Country Context</w:t>
      </w:r>
    </w:p>
    <w:p w14:paraId="20A4E38D" w14:textId="77777777" w:rsidR="00D70D43" w:rsidRPr="00141F1F" w:rsidRDefault="00D70D43" w:rsidP="002E38A2">
      <w:pPr>
        <w:numPr>
          <w:ilvl w:val="0"/>
          <w:numId w:val="10"/>
        </w:numPr>
        <w:spacing w:before="120"/>
        <w:ind w:right="-432"/>
        <w:contextualSpacing/>
        <w:mirrorIndents/>
        <w:jc w:val="both"/>
        <w:rPr>
          <w:rFonts w:eastAsia="Times New Roman" w:cstheme="minorHAnsi"/>
          <w:bCs/>
        </w:rPr>
      </w:pPr>
      <w:r w:rsidRPr="00141F1F">
        <w:rPr>
          <w:rFonts w:eastAsia="Times New Roman" w:cstheme="minorHAnsi"/>
          <w:bCs/>
        </w:rPr>
        <w:t xml:space="preserve">The mining sector is amongst the fastest growing sectors in several African nations. Tanzania, Africa’s fourth largest producer of gold (after South Africa, Ghana, and Mali), is experiencing a boom in its mining industry. Currently, the mining sector contributes 5.07% of the country’s Gross Domestic Product (GDP), the bigger share being gold. The Tanzanian gold mining sector comprises of two subsectors: </w:t>
      </w:r>
      <w:proofErr w:type="gramStart"/>
      <w:r w:rsidRPr="00141F1F">
        <w:rPr>
          <w:rFonts w:eastAsia="Times New Roman" w:cstheme="minorHAnsi"/>
          <w:bCs/>
        </w:rPr>
        <w:t>the</w:t>
      </w:r>
      <w:proofErr w:type="gramEnd"/>
      <w:r w:rsidRPr="00141F1F">
        <w:rPr>
          <w:rFonts w:eastAsia="Times New Roman" w:cstheme="minorHAnsi"/>
          <w:bCs/>
        </w:rPr>
        <w:t xml:space="preserve"> Large Scale Mining (LSM) subsector, which is associated with large FDI, infrastructure development, technology transfer, high productivity and high export earnings. The second subsector is the Artisanal and Small-Scale Mining (ASM), and it often involves local miners using basic methods to extract near-surface deposits. ASM is associated with low investment and low productivity, but it accounts for most of the sector’s employment and is more accessible to the poor, especially in rural areas. Tanzanians who do not enjoy a share of the LSM-induced urban prosperity are turning to the artisanal mining of small and medium-sized gold, copper, silver and other mineral deposits across the country as means of income generation and livelihood alternative during tough times. Recent Government initiatives on formalization of the ASM subsector, have significantly increased the contribution of this subsector to the national income.</w:t>
      </w:r>
    </w:p>
    <w:p w14:paraId="70BA5AAE" w14:textId="77777777" w:rsidR="00D70D43" w:rsidRPr="00141F1F" w:rsidRDefault="00D70D43" w:rsidP="00D70D43">
      <w:pPr>
        <w:spacing w:before="120"/>
        <w:ind w:left="3" w:right="-432"/>
        <w:contextualSpacing/>
        <w:mirrorIndents/>
        <w:jc w:val="both"/>
        <w:rPr>
          <w:rFonts w:eastAsia="Times New Roman" w:cstheme="minorHAnsi"/>
          <w:bCs/>
        </w:rPr>
      </w:pPr>
    </w:p>
    <w:p w14:paraId="3835C9D6" w14:textId="77777777" w:rsidR="00D70D43" w:rsidRPr="00141F1F" w:rsidRDefault="00D70D43" w:rsidP="002E38A2">
      <w:pPr>
        <w:numPr>
          <w:ilvl w:val="0"/>
          <w:numId w:val="10"/>
        </w:numPr>
        <w:spacing w:before="120"/>
        <w:ind w:right="-432"/>
        <w:contextualSpacing/>
        <w:mirrorIndents/>
        <w:jc w:val="both"/>
        <w:rPr>
          <w:rFonts w:eastAsia="Times New Roman" w:cstheme="minorHAnsi"/>
          <w:bCs/>
        </w:rPr>
      </w:pPr>
      <w:r w:rsidRPr="00141F1F">
        <w:rPr>
          <w:rFonts w:eastAsia="Times New Roman" w:cstheme="minorHAnsi"/>
          <w:bCs/>
        </w:rPr>
        <w:t xml:space="preserve">Informal, illegal and unregulated use of mercury as an amalgam in ASGM operations dates back before 1930’s and has created a legacy of severe adverse (and irreversible) environmental damage and health hazards, which are compounded by economic, and social problems, including child labor, land tenure issues; migration and other social instability and potential conflict. Mercury is a dangerous neurotoxic with significant health and economic consequences, which has broader multi-sectoral risks beyond direct health risks to miners and their families.  Many Artisanal and Small-Scale Gold Mining (ASGM) activities are carried out near or upstream of streams and rivers that drain into or are </w:t>
      </w:r>
      <w:proofErr w:type="gramStart"/>
      <w:r w:rsidRPr="00141F1F">
        <w:rPr>
          <w:rFonts w:eastAsia="Times New Roman" w:cstheme="minorHAnsi"/>
          <w:bCs/>
        </w:rPr>
        <w:t>in close proximity to</w:t>
      </w:r>
      <w:proofErr w:type="gramEnd"/>
      <w:r w:rsidRPr="00141F1F">
        <w:rPr>
          <w:rFonts w:eastAsia="Times New Roman" w:cstheme="minorHAnsi"/>
          <w:bCs/>
        </w:rPr>
        <w:t xml:space="preserve"> major freshwater impoundments such as lakes and manmade reservoirs created by storage dams for water supply, irrigation and hydropower. These impoundments act as sinks for mercury that accumulates in sediments and bio-accumulates in tissues of fish and other aquatic species. Some of ASGM activities are carried out near major freshwater lakes such as Victoria, Nyasa, </w:t>
      </w:r>
      <w:proofErr w:type="spellStart"/>
      <w:r w:rsidRPr="00141F1F">
        <w:rPr>
          <w:rFonts w:eastAsia="Times New Roman" w:cstheme="minorHAnsi"/>
          <w:bCs/>
        </w:rPr>
        <w:t>Rukwa</w:t>
      </w:r>
      <w:proofErr w:type="spellEnd"/>
      <w:r w:rsidRPr="00141F1F">
        <w:rPr>
          <w:rFonts w:eastAsia="Times New Roman" w:cstheme="minorHAnsi"/>
          <w:bCs/>
        </w:rPr>
        <w:t xml:space="preserve"> and Tanganyika that may pose risks of contamination if plans for reduction and where feasible elimination of mercury are not prepared and implemented timely.</w:t>
      </w:r>
    </w:p>
    <w:p w14:paraId="028CDDB4" w14:textId="77777777" w:rsidR="00D70D43" w:rsidRPr="00141F1F" w:rsidRDefault="00D70D43" w:rsidP="00D70D43">
      <w:pPr>
        <w:spacing w:before="120"/>
        <w:ind w:left="3" w:right="-432"/>
        <w:contextualSpacing/>
        <w:mirrorIndents/>
        <w:jc w:val="both"/>
        <w:rPr>
          <w:rFonts w:eastAsia="Times New Roman" w:cstheme="minorHAnsi"/>
          <w:bCs/>
        </w:rPr>
      </w:pPr>
    </w:p>
    <w:p w14:paraId="06927A6C" w14:textId="77777777" w:rsidR="00D70D43" w:rsidRPr="00141F1F" w:rsidRDefault="00D70D43" w:rsidP="002E38A2">
      <w:pPr>
        <w:numPr>
          <w:ilvl w:val="0"/>
          <w:numId w:val="10"/>
        </w:numPr>
        <w:spacing w:before="120"/>
        <w:ind w:right="-432"/>
        <w:contextualSpacing/>
        <w:mirrorIndents/>
        <w:jc w:val="both"/>
        <w:rPr>
          <w:rFonts w:eastAsia="Times New Roman" w:cstheme="minorHAnsi"/>
          <w:bCs/>
        </w:rPr>
      </w:pPr>
      <w:r w:rsidRPr="00141F1F">
        <w:rPr>
          <w:rFonts w:eastAsia="Times New Roman" w:cstheme="minorHAnsi"/>
          <w:bCs/>
        </w:rPr>
        <w:t>The World Bank’s current engagement in Tanzania in the mining sector particularly in the last 5 years has reinforced the need for a program that is focused on environmental health issues in the ASGM sector.</w:t>
      </w:r>
    </w:p>
    <w:p w14:paraId="3C6F22A7" w14:textId="77777777" w:rsidR="00D70D43" w:rsidRPr="00141F1F" w:rsidRDefault="00D70D43" w:rsidP="00D70D43">
      <w:pPr>
        <w:ind w:left="720"/>
        <w:contextualSpacing/>
        <w:rPr>
          <w:rFonts w:eastAsia="Times New Roman" w:cstheme="minorHAnsi"/>
          <w:bCs/>
        </w:rPr>
      </w:pPr>
    </w:p>
    <w:p w14:paraId="0E913AF6" w14:textId="77777777" w:rsidR="00D70D43" w:rsidRPr="00141F1F" w:rsidRDefault="00D70D43" w:rsidP="00D70D43">
      <w:pPr>
        <w:ind w:left="-432" w:right="-432"/>
        <w:contextualSpacing/>
        <w:mirrorIndents/>
        <w:rPr>
          <w:rFonts w:eastAsia="Times New Roman" w:cstheme="minorHAnsi"/>
          <w:b/>
        </w:rPr>
      </w:pPr>
      <w:r w:rsidRPr="00141F1F">
        <w:rPr>
          <w:rFonts w:eastAsia="Times New Roman" w:cstheme="minorHAnsi"/>
          <w:b/>
        </w:rPr>
        <w:t>B – Sectoral and Institutional Context</w:t>
      </w:r>
    </w:p>
    <w:p w14:paraId="748F9E1F" w14:textId="77777777" w:rsidR="00D70D43" w:rsidRPr="00141F1F" w:rsidRDefault="00D70D43" w:rsidP="00D70D43">
      <w:pPr>
        <w:ind w:left="-432" w:right="-432"/>
        <w:contextualSpacing/>
        <w:mirrorIndents/>
        <w:rPr>
          <w:rFonts w:eastAsia="Times New Roman" w:cstheme="minorHAnsi"/>
          <w:bCs/>
        </w:rPr>
      </w:pPr>
    </w:p>
    <w:p w14:paraId="44B1F24A"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lastRenderedPageBreak/>
        <w:t>It is estimated that more than 1 million people are involved in ASGM activities, including women and children, along the supply chain. ASGM operations range from semi-mechanized and mechanized mining to the extraction of minerals using simple technologies with little or no economic capital and no mechanization. ASGM is a significant contributor to employment generation and poverty alleviation in Tanzania particularly in rural areas. It can be a traditional livelihood activity, a full-time source of employment, or a season specific part-time job and can include migrant peoples, local communities with a longstanding history of mining, and people from all walks of life.</w:t>
      </w:r>
    </w:p>
    <w:p w14:paraId="79A8D16D" w14:textId="77777777" w:rsidR="00D70D43" w:rsidRPr="00141F1F" w:rsidRDefault="00D70D43" w:rsidP="00D70D43">
      <w:pPr>
        <w:ind w:left="3"/>
        <w:contextualSpacing/>
        <w:jc w:val="both"/>
        <w:rPr>
          <w:rFonts w:eastAsia="Times New Roman" w:cstheme="minorHAnsi"/>
          <w:bCs/>
        </w:rPr>
      </w:pPr>
    </w:p>
    <w:p w14:paraId="5C774CEA"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ASGM has generally left a legacy of severe adverse (and irreversible) environmental health, economic and social impacts, often affecting disproportionately the poorest and most vulnerable communities. The ASGM industry is associated with the highest levels of mercury emissions polluting the air, soils and waterways. Mercury used in ASGM is mostly obtained illegally, posing a serious governance challenge. In 2016, it was estimated that 30-50 tons of mercury were used in Tanzania by ASGM, although the total amount of mercury imported was less than 2 tons, mostly obtained illegally from outside the country</w:t>
      </w:r>
      <w:r w:rsidRPr="00141F1F">
        <w:rPr>
          <w:rFonts w:eastAsia="Times New Roman" w:cstheme="minorHAnsi"/>
          <w:bCs/>
          <w:vertAlign w:val="superscript"/>
        </w:rPr>
        <w:footnoteReference w:id="26"/>
      </w:r>
      <w:r w:rsidRPr="00141F1F">
        <w:rPr>
          <w:rFonts w:eastAsia="Times New Roman" w:cstheme="minorHAnsi"/>
          <w:bCs/>
        </w:rPr>
        <w:t>. Approximately 25% of Tanzania’s artisanal and small-scale miners are women.</w:t>
      </w:r>
      <w:r w:rsidRPr="00141F1F">
        <w:rPr>
          <w:rFonts w:eastAsia="Times New Roman" w:cstheme="minorHAnsi"/>
          <w:bCs/>
          <w:vertAlign w:val="superscript"/>
        </w:rPr>
        <w:footnoteReference w:id="27"/>
      </w:r>
    </w:p>
    <w:p w14:paraId="67CE92D5" w14:textId="77777777" w:rsidR="00D70D43" w:rsidRPr="00141F1F" w:rsidRDefault="00D70D43" w:rsidP="00D70D43">
      <w:pPr>
        <w:ind w:left="720"/>
        <w:contextualSpacing/>
        <w:rPr>
          <w:rFonts w:eastAsia="Times New Roman" w:cstheme="minorHAnsi"/>
          <w:bCs/>
        </w:rPr>
      </w:pPr>
    </w:p>
    <w:p w14:paraId="7AE3EFCF"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 xml:space="preserve">The subsistence nature of ASG and lack of alternatives masks the associated health hazards and environmental damage. Mercury is mostly preferred by ASGM because it </w:t>
      </w:r>
      <w:proofErr w:type="gramStart"/>
      <w:r w:rsidRPr="00141F1F">
        <w:rPr>
          <w:rFonts w:eastAsia="Times New Roman" w:cstheme="minorHAnsi"/>
          <w:bCs/>
        </w:rPr>
        <w:t>is considered to be</w:t>
      </w:r>
      <w:proofErr w:type="gramEnd"/>
      <w:r w:rsidRPr="00141F1F">
        <w:rPr>
          <w:rFonts w:eastAsia="Times New Roman" w:cstheme="minorHAnsi"/>
          <w:bCs/>
        </w:rPr>
        <w:t xml:space="preserve"> cost effective, efficient, easiest to use and cheapest method for gold separation. Even though there are substitutes along with devices capable of reducing emissions of mercury available, the problem is systemic requiring continuous enforcement, monitoring and training.</w:t>
      </w:r>
    </w:p>
    <w:p w14:paraId="1573D0C3" w14:textId="77777777" w:rsidR="00D70D43" w:rsidRPr="00141F1F" w:rsidRDefault="00D70D43" w:rsidP="00D70D43">
      <w:pPr>
        <w:ind w:left="3"/>
        <w:contextualSpacing/>
        <w:jc w:val="both"/>
        <w:rPr>
          <w:rFonts w:eastAsia="Times New Roman" w:cstheme="minorHAnsi"/>
          <w:bCs/>
        </w:rPr>
      </w:pPr>
    </w:p>
    <w:p w14:paraId="171C865C"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 xml:space="preserve">Mining Act 2010 as amended in 2017 replaced the Mining Act of 1998. The new Mining Act requires primary mining licenses (PML) holders to prepare Environment Protection Plans which include the need for rehabilitating mines after closure. All PML holders are required by law to address environmental and social due diligence. The Ministry of Minerals through the Mining Commission now processes license applications and issues permits at the Resident Mines Offices (RMO). </w:t>
      </w:r>
    </w:p>
    <w:p w14:paraId="3C5B2FC5" w14:textId="77777777" w:rsidR="00D70D43" w:rsidRPr="00141F1F" w:rsidRDefault="00D70D43" w:rsidP="00D70D43">
      <w:pPr>
        <w:ind w:left="3"/>
        <w:contextualSpacing/>
        <w:jc w:val="both"/>
        <w:rPr>
          <w:rFonts w:eastAsia="Times New Roman" w:cstheme="minorHAnsi"/>
          <w:bCs/>
        </w:rPr>
      </w:pPr>
    </w:p>
    <w:p w14:paraId="114462D3"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Over the course of the last decade, the government has actively encouraged formalization of artisanal and small-scale mining by simplifying procedures for acquiring PMLs and decentralizing the Ministry</w:t>
      </w:r>
      <w:r>
        <w:rPr>
          <w:rFonts w:eastAsia="Times New Roman" w:cstheme="minorHAnsi"/>
          <w:bCs/>
        </w:rPr>
        <w:t xml:space="preserve"> </w:t>
      </w:r>
      <w:r w:rsidRPr="00141F1F">
        <w:rPr>
          <w:rFonts w:eastAsia="Times New Roman" w:cstheme="minorHAnsi"/>
          <w:bCs/>
        </w:rPr>
        <w:t xml:space="preserve">of Minerals inspections and extension services functions to l district offices. In 2013, the government established a small-scale mining loan facility of 6.4 billion Tanzania shillings as a financial incentive to Tanzanian nationals operating as small-scale miners in order to improve their operations and increase productivity. As a result of these efforts, PMLs have risen dramatically, increasing from about 35 in 1999 nearly 26,000 in at the end of 2013. By the end of 2014, this numbers further increased to 35,000. Following the Revision of the Mining Act 2010 in the year 2017, a cleanup exercise was undertaken in the licensing system to remove all non-performing PMLs, consequently by the year 2019, about 14,844 PMLs have been recorded. </w:t>
      </w:r>
    </w:p>
    <w:p w14:paraId="078FEC5B" w14:textId="77777777" w:rsidR="00D70D43" w:rsidRPr="00141F1F" w:rsidRDefault="00D70D43" w:rsidP="00D70D43">
      <w:pPr>
        <w:ind w:left="3"/>
        <w:contextualSpacing/>
        <w:jc w:val="both"/>
        <w:rPr>
          <w:rFonts w:eastAsia="Times New Roman" w:cstheme="minorHAnsi"/>
          <w:bCs/>
        </w:rPr>
      </w:pPr>
    </w:p>
    <w:p w14:paraId="376B1F46"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lastRenderedPageBreak/>
        <w:t>Most owners of PMLs lease the mineral access to pit holders. Formal contractual obligations between the PML owners, pit holders and workers are exceptionally rare, although sub-leasing of pits contradicts the mining legislation. Legalizing transfer of rights and mining titles upgrades to artisanal miners will enhance responsibilities and entitlements for stakeholders.  Informal sub-leasing of PMLs to artisanal miners and absence of formal gold processing areas leads to poor environmental monitoring, enforcement and compliance for mercury users.</w:t>
      </w:r>
    </w:p>
    <w:p w14:paraId="239B8D75" w14:textId="77777777" w:rsidR="00D70D43" w:rsidRPr="00141F1F" w:rsidRDefault="00D70D43" w:rsidP="00D70D43">
      <w:pPr>
        <w:ind w:left="3"/>
        <w:contextualSpacing/>
        <w:jc w:val="both"/>
        <w:rPr>
          <w:rFonts w:eastAsia="Times New Roman" w:cstheme="minorHAnsi"/>
          <w:bCs/>
        </w:rPr>
      </w:pPr>
    </w:p>
    <w:p w14:paraId="218E90DB" w14:textId="77777777" w:rsidR="00D70D43" w:rsidRPr="00141F1F" w:rsidRDefault="00D70D43" w:rsidP="002E38A2">
      <w:pPr>
        <w:numPr>
          <w:ilvl w:val="0"/>
          <w:numId w:val="10"/>
        </w:numPr>
        <w:contextualSpacing/>
        <w:jc w:val="both"/>
        <w:rPr>
          <w:rFonts w:eastAsia="Times New Roman" w:cstheme="minorHAnsi"/>
          <w:bCs/>
        </w:rPr>
      </w:pPr>
      <w:r w:rsidRPr="00141F1F">
        <w:rPr>
          <w:rFonts w:eastAsia="Times New Roman" w:cstheme="minorHAnsi"/>
          <w:bCs/>
        </w:rPr>
        <w:t>Despite all those initiatives, Institutional capacity (both technical and administrative) to control and monitor imports and use of mercury as well as its health and environmental consequences in the country is limited, which hinders country ability in controlling monitoring and reporting mercury imports and use as per their commitment under the Minamata Convention. In addition to that, efforts to raise awareness and mechanisms to reduce demand, for illegally traded mercury are inadequate. There are inadequate technical, financial and managerial capacity to address these challenges.</w:t>
      </w:r>
    </w:p>
    <w:p w14:paraId="7557E2BE" w14:textId="77777777" w:rsidR="00D70D43" w:rsidRPr="00141F1F" w:rsidRDefault="00D70D43" w:rsidP="00D70D43">
      <w:pPr>
        <w:ind w:left="3"/>
        <w:contextualSpacing/>
        <w:jc w:val="both"/>
        <w:rPr>
          <w:rFonts w:eastAsia="Times New Roman" w:cstheme="minorHAnsi"/>
          <w:bCs/>
        </w:rPr>
      </w:pPr>
    </w:p>
    <w:tbl>
      <w:tblPr>
        <w:tblW w:w="10710" w:type="dxa"/>
        <w:tblInd w:w="-720" w:type="dxa"/>
        <w:tblLayout w:type="fixed"/>
        <w:tblLook w:val="04A0" w:firstRow="1" w:lastRow="0" w:firstColumn="1" w:lastColumn="0" w:noHBand="0" w:noVBand="1"/>
      </w:tblPr>
      <w:tblGrid>
        <w:gridCol w:w="10710"/>
      </w:tblGrid>
      <w:tr w:rsidR="00D70D43" w:rsidRPr="00141F1F" w14:paraId="431F2802" w14:textId="77777777" w:rsidTr="007463F5">
        <w:trPr>
          <w:trHeight w:val="80"/>
        </w:trPr>
        <w:tc>
          <w:tcPr>
            <w:tcW w:w="10710" w:type="dxa"/>
          </w:tcPr>
          <w:p w14:paraId="47A29446" w14:textId="77777777" w:rsidR="00D70D43" w:rsidRPr="00141F1F" w:rsidRDefault="00D70D43" w:rsidP="007463F5">
            <w:pPr>
              <w:jc w:val="both"/>
              <w:rPr>
                <w:rFonts w:cstheme="minorHAnsi"/>
                <w:b/>
              </w:rPr>
            </w:pPr>
            <w:r w:rsidRPr="00141F1F">
              <w:rPr>
                <w:rFonts w:cstheme="minorHAnsi"/>
                <w:b/>
                <w:bCs/>
              </w:rPr>
              <w:t>C.</w:t>
            </w:r>
            <w:r w:rsidRPr="00141F1F">
              <w:rPr>
                <w:rFonts w:cstheme="minorHAnsi"/>
                <w:b/>
              </w:rPr>
              <w:t xml:space="preserve"> Relevance to Higher Level Objectives</w:t>
            </w:r>
          </w:p>
        </w:tc>
      </w:tr>
    </w:tbl>
    <w:p w14:paraId="1D4EA1C1" w14:textId="26B81BD4" w:rsidR="00D70D43" w:rsidRPr="00141F1F" w:rsidRDefault="00D70D43" w:rsidP="002E38A2">
      <w:pPr>
        <w:numPr>
          <w:ilvl w:val="0"/>
          <w:numId w:val="10"/>
        </w:numPr>
        <w:contextualSpacing/>
        <w:jc w:val="both"/>
        <w:rPr>
          <w:rFonts w:eastAsia="Times New Roman" w:cstheme="minorHAnsi"/>
        </w:rPr>
      </w:pPr>
      <w:r w:rsidRPr="00141F1F">
        <w:rPr>
          <w:rFonts w:eastAsia="Times New Roman" w:cstheme="minorHAnsi"/>
        </w:rPr>
        <w:t>Tanzania signed the Minamata Convention on October 10, 2013 and is in the final stages of ratification</w:t>
      </w:r>
      <w:r w:rsidR="007C63F5">
        <w:rPr>
          <w:rFonts w:eastAsia="Times New Roman" w:cstheme="minorHAnsi"/>
        </w:rPr>
        <w:t xml:space="preserve"> </w:t>
      </w:r>
      <w:r w:rsidR="007C63F5" w:rsidRPr="00141F1F">
        <w:rPr>
          <w:rFonts w:eastAsia="Times New Roman" w:cstheme="minorHAnsi"/>
        </w:rPr>
        <w:t>in order to become a full party to the Convention</w:t>
      </w:r>
      <w:r w:rsidRPr="00141F1F">
        <w:rPr>
          <w:rFonts w:eastAsia="Times New Roman" w:cstheme="minorHAnsi"/>
        </w:rPr>
        <w:t xml:space="preserve">. UNEP as GEF implementing agency supported Tanzania to prepare its Minamata Initial Assessment (MIA) and National Action Plan (NAP) for Artisanal and Small-Scale Gold Mining. </w:t>
      </w:r>
    </w:p>
    <w:p w14:paraId="6CA03876" w14:textId="77777777" w:rsidR="00D70D43" w:rsidRPr="00141F1F" w:rsidRDefault="00D70D43" w:rsidP="00D70D43">
      <w:pPr>
        <w:ind w:left="3"/>
        <w:contextualSpacing/>
        <w:jc w:val="both"/>
        <w:rPr>
          <w:rFonts w:eastAsia="Times New Roman" w:cstheme="minorHAnsi"/>
        </w:rPr>
      </w:pPr>
    </w:p>
    <w:p w14:paraId="59A2EE6B" w14:textId="77777777" w:rsidR="00D70D43" w:rsidRPr="00141F1F" w:rsidRDefault="00D70D43" w:rsidP="002E38A2">
      <w:pPr>
        <w:numPr>
          <w:ilvl w:val="0"/>
          <w:numId w:val="10"/>
        </w:numPr>
        <w:contextualSpacing/>
        <w:jc w:val="both"/>
        <w:rPr>
          <w:rFonts w:eastAsia="Times New Roman" w:cstheme="minorHAnsi"/>
        </w:rPr>
      </w:pPr>
      <w:r w:rsidRPr="00141F1F">
        <w:rPr>
          <w:rFonts w:eastAsia="Times New Roman" w:cstheme="minorHAnsi"/>
        </w:rPr>
        <w:t xml:space="preserve">NAP activities will provide the opportunity for supporting further policy enhancements in small-scale mining, while building capacity for improving monitoring and enforcement of the regulations. While there is recognition that the use of mercury has serious environmental and health consequences, there are limited resources to demonstrate cleaner alternative technologies </w:t>
      </w:r>
      <w:proofErr w:type="gramStart"/>
      <w:r w:rsidRPr="00141F1F">
        <w:rPr>
          <w:rFonts w:eastAsia="Times New Roman" w:cstheme="minorHAnsi"/>
        </w:rPr>
        <w:t>and also</w:t>
      </w:r>
      <w:proofErr w:type="gramEnd"/>
      <w:r w:rsidRPr="00141F1F">
        <w:rPr>
          <w:rFonts w:eastAsia="Times New Roman" w:cstheme="minorHAnsi"/>
        </w:rPr>
        <w:t xml:space="preserve"> exhibit clean and feasible practices related to mine closure as mandated in the Mineral Policy.  This EHPMP will build on MIA and National Action Plans (NAP) for Artisanal and </w:t>
      </w:r>
      <w:proofErr w:type="gramStart"/>
      <w:r w:rsidRPr="00141F1F">
        <w:rPr>
          <w:rFonts w:eastAsia="Times New Roman" w:cstheme="minorHAnsi"/>
        </w:rPr>
        <w:t>Small scale</w:t>
      </w:r>
      <w:proofErr w:type="gramEnd"/>
      <w:r w:rsidRPr="00141F1F">
        <w:rPr>
          <w:rFonts w:eastAsia="Times New Roman" w:cstheme="minorHAnsi"/>
        </w:rPr>
        <w:t xml:space="preserve"> Gold Mining (ASGM). </w:t>
      </w:r>
    </w:p>
    <w:p w14:paraId="5AA159E8" w14:textId="4D7FFC4C" w:rsidR="00D70D43" w:rsidRDefault="00D70D43" w:rsidP="00D70D43">
      <w:pPr>
        <w:ind w:left="3"/>
        <w:contextualSpacing/>
        <w:jc w:val="both"/>
        <w:rPr>
          <w:rFonts w:eastAsia="Times New Roman" w:cstheme="minorHAnsi"/>
          <w:b/>
        </w:rPr>
      </w:pPr>
    </w:p>
    <w:p w14:paraId="1247156E" w14:textId="32775B4A" w:rsidR="00B6676D" w:rsidRPr="00091456" w:rsidRDefault="00B6676D" w:rsidP="00B6676D">
      <w:pPr>
        <w:numPr>
          <w:ilvl w:val="0"/>
          <w:numId w:val="10"/>
        </w:numPr>
        <w:contextualSpacing/>
        <w:jc w:val="both"/>
        <w:rPr>
          <w:rFonts w:eastAsia="Times New Roman" w:cstheme="minorHAnsi"/>
          <w:bCs/>
        </w:rPr>
      </w:pPr>
      <w:r w:rsidRPr="00141F1F">
        <w:rPr>
          <w:rFonts w:eastAsia="Times New Roman" w:cstheme="minorHAnsi"/>
        </w:rPr>
        <w:t xml:space="preserve">EHPMP is consistent with the World Bank Group’s Country Partnership Framework that aims to help the Government of Tanzania address the development challenges in its priority areas identified in the Seventh National Development Plan.  The project will directly contribute to the CPF’s focus area 1 “More even territorial development: Opportunities and Jobs for the poor” and Objective 1.2 “Selected rural communities become more resilient to climate and environmental shocks”. </w:t>
      </w:r>
    </w:p>
    <w:p w14:paraId="2128C690" w14:textId="77777777" w:rsidR="00091456" w:rsidRDefault="00091456" w:rsidP="00091456">
      <w:pPr>
        <w:pStyle w:val="ListParagraph"/>
        <w:widowControl w:val="0"/>
        <w:numPr>
          <w:ilvl w:val="0"/>
          <w:numId w:val="10"/>
        </w:numPr>
        <w:autoSpaceDE w:val="0"/>
        <w:autoSpaceDN w:val="0"/>
        <w:adjustRightInd w:val="0"/>
        <w:spacing w:after="0" w:line="240" w:lineRule="auto"/>
        <w:jc w:val="both"/>
        <w:rPr>
          <w:rFonts w:cstheme="minorHAnsi"/>
          <w:bCs/>
        </w:rPr>
      </w:pPr>
      <w:r w:rsidRPr="00EC798D">
        <w:rPr>
          <w:rFonts w:cstheme="minorHAnsi"/>
          <w:bCs/>
        </w:rPr>
        <w:t>The project will contribute to the</w:t>
      </w:r>
      <w:r w:rsidRPr="00EC798D">
        <w:rPr>
          <w:rFonts w:cstheme="minorHAnsi"/>
          <w:b/>
          <w:bCs/>
        </w:rPr>
        <w:t xml:space="preserve"> </w:t>
      </w:r>
      <w:r w:rsidRPr="00EC798D">
        <w:rPr>
          <w:rFonts w:cstheme="minorHAnsi"/>
          <w:bCs/>
        </w:rPr>
        <w:t>GEF 6 Chemicals and Waste Focal Area Strategy</w:t>
      </w:r>
      <w:r w:rsidRPr="00EC798D">
        <w:rPr>
          <w:rFonts w:cstheme="minorHAnsi"/>
          <w:b/>
          <w:bCs/>
        </w:rPr>
        <w:t xml:space="preserve"> </w:t>
      </w:r>
      <w:r w:rsidRPr="00EC798D">
        <w:rPr>
          <w:rFonts w:cstheme="minorHAnsi"/>
          <w:bCs/>
        </w:rPr>
        <w:t xml:space="preserve">that aims “to prevent the exposure of humans and the environment to harmful chemicals and waste of global importance including POPs, mercury and ozone depleting substances.” </w:t>
      </w:r>
      <w:r>
        <w:rPr>
          <w:rFonts w:cstheme="minorHAnsi"/>
          <w:bCs/>
        </w:rPr>
        <w:t xml:space="preserve"> </w:t>
      </w:r>
      <w:r w:rsidRPr="00091456">
        <w:rPr>
          <w:rFonts w:cstheme="minorHAnsi"/>
          <w:bCs/>
        </w:rPr>
        <w:t>The project will be implemented in synergy with other ongoing projects and initiatives supporting the environmental health agenda in Africa.</w:t>
      </w:r>
      <w:r w:rsidRPr="00880538">
        <w:rPr>
          <w:rFonts w:cstheme="minorHAnsi"/>
          <w:bCs/>
        </w:rPr>
        <w:t xml:space="preserve"> Principal among these projects are the </w:t>
      </w:r>
      <w:r w:rsidRPr="00880538">
        <w:rPr>
          <w:rFonts w:cstheme="minorHAnsi"/>
          <w:bCs/>
          <w:i/>
        </w:rPr>
        <w:t>GEF Knowledge Exchange and Institutional Partnerships to Reduce Environmental Health Risks from Exposure to Harmful Chemicals and Waste</w:t>
      </w:r>
      <w:r w:rsidRPr="00880538">
        <w:rPr>
          <w:rFonts w:cstheme="minorHAnsi"/>
          <w:bCs/>
        </w:rPr>
        <w:t xml:space="preserve"> (BETF, P166233)</w:t>
      </w:r>
      <w:r w:rsidRPr="00880538">
        <w:rPr>
          <w:rFonts w:cstheme="minorHAnsi"/>
        </w:rPr>
        <w:t>.</w:t>
      </w:r>
    </w:p>
    <w:p w14:paraId="34ECC550" w14:textId="64744681" w:rsidR="00D70D43" w:rsidRDefault="00D70D43" w:rsidP="00091456">
      <w:pPr>
        <w:ind w:left="3"/>
        <w:contextualSpacing/>
        <w:jc w:val="both"/>
        <w:rPr>
          <w:rFonts w:eastAsia="Times New Roman" w:cstheme="minorHAnsi"/>
          <w:bCs/>
        </w:rPr>
      </w:pPr>
    </w:p>
    <w:p w14:paraId="5BC1AD7C" w14:textId="77777777" w:rsidR="00091456" w:rsidRPr="00091456" w:rsidRDefault="00091456" w:rsidP="00091456">
      <w:pPr>
        <w:ind w:left="3"/>
        <w:contextualSpacing/>
        <w:jc w:val="both"/>
        <w:rPr>
          <w:rFonts w:eastAsia="Times New Roman" w:cstheme="minorHAnsi"/>
          <w:bCs/>
        </w:rPr>
      </w:pPr>
    </w:p>
    <w:p w14:paraId="7A5A6E7E" w14:textId="77777777" w:rsidR="00D70D43" w:rsidRPr="00141F1F" w:rsidRDefault="00D70D43" w:rsidP="00D70D43">
      <w:pPr>
        <w:ind w:left="3"/>
        <w:contextualSpacing/>
        <w:rPr>
          <w:rFonts w:eastAsia="Times New Roman" w:cstheme="minorHAnsi"/>
          <w:bCs/>
        </w:rPr>
      </w:pPr>
      <w:r w:rsidRPr="00141F1F">
        <w:rPr>
          <w:rFonts w:eastAsia="Times New Roman" w:cstheme="minorHAnsi"/>
          <w:b/>
          <w:bCs/>
        </w:rPr>
        <w:t>PROJECT DESCRIPTION</w:t>
      </w:r>
    </w:p>
    <w:p w14:paraId="161312C7" w14:textId="77777777" w:rsidR="00D70D43" w:rsidRPr="00141F1F" w:rsidRDefault="00D70D43" w:rsidP="00D70D43">
      <w:pPr>
        <w:ind w:left="3"/>
        <w:contextualSpacing/>
        <w:rPr>
          <w:rFonts w:eastAsia="Times New Roman" w:cstheme="minorHAnsi"/>
          <w:bCs/>
        </w:rPr>
      </w:pPr>
      <w:r w:rsidRPr="00141F1F">
        <w:rPr>
          <w:rFonts w:eastAsia="Calibri" w:cstheme="minorHAnsi"/>
          <w:b/>
        </w:rPr>
        <w:t>A – Project Development Objective</w:t>
      </w:r>
    </w:p>
    <w:p w14:paraId="202ACF6A" w14:textId="77777777" w:rsidR="00D70D43" w:rsidRPr="007F4B28" w:rsidRDefault="00D70D43" w:rsidP="002E38A2">
      <w:pPr>
        <w:numPr>
          <w:ilvl w:val="0"/>
          <w:numId w:val="10"/>
        </w:numPr>
        <w:contextualSpacing/>
        <w:rPr>
          <w:rFonts w:cstheme="minorHAnsi"/>
          <w:bCs/>
        </w:rPr>
      </w:pPr>
      <w:r w:rsidRPr="00141F1F">
        <w:rPr>
          <w:rFonts w:cstheme="minorHAnsi"/>
          <w:bCs/>
        </w:rPr>
        <w:lastRenderedPageBreak/>
        <w:t>The project aims to reduce exposure to mercury in pilot sites and strengthen the institutional capacity to manage and regulate mercury use in artisanal small-scale gold mining (ASGM) in Tanzania</w:t>
      </w:r>
      <w:r>
        <w:rPr>
          <w:rFonts w:cstheme="minorHAnsi"/>
          <w:bCs/>
        </w:rPr>
        <w:t>.</w:t>
      </w:r>
    </w:p>
    <w:p w14:paraId="2563D413" w14:textId="77777777" w:rsidR="00D70D43" w:rsidRPr="007F4B28" w:rsidRDefault="00D70D43" w:rsidP="00D70D43">
      <w:pPr>
        <w:ind w:left="3"/>
        <w:contextualSpacing/>
        <w:rPr>
          <w:rFonts w:cstheme="minorHAnsi"/>
          <w:bCs/>
        </w:rPr>
      </w:pPr>
    </w:p>
    <w:p w14:paraId="7D489E8C" w14:textId="3DB8D204" w:rsidR="00D70D43" w:rsidRPr="00FA26C4" w:rsidRDefault="00D70D43" w:rsidP="00D70D43">
      <w:pPr>
        <w:numPr>
          <w:ilvl w:val="0"/>
          <w:numId w:val="10"/>
        </w:numPr>
        <w:contextualSpacing/>
        <w:rPr>
          <w:rFonts w:cstheme="minorHAnsi"/>
          <w:bCs/>
        </w:rPr>
      </w:pPr>
      <w:r w:rsidRPr="007F4B28">
        <w:rPr>
          <w:rFonts w:cstheme="minorHAnsi"/>
          <w:b/>
          <w:bCs/>
        </w:rPr>
        <w:t>PDO Level Indicator</w:t>
      </w:r>
    </w:p>
    <w:p w14:paraId="65F76688" w14:textId="77777777" w:rsidR="00D70D43" w:rsidRPr="007F4B28" w:rsidRDefault="00D70D43" w:rsidP="00644C67">
      <w:pPr>
        <w:ind w:left="3"/>
        <w:contextualSpacing/>
        <w:rPr>
          <w:rFonts w:cstheme="minorHAnsi"/>
          <w:bCs/>
        </w:rPr>
      </w:pPr>
      <w:r w:rsidRPr="007F4B28">
        <w:rPr>
          <w:rFonts w:cstheme="minorHAnsi"/>
          <w:noProof/>
        </w:rPr>
        <w:t>The following PDO indicators are proposed, disaggregated by country:</w:t>
      </w:r>
    </w:p>
    <w:p w14:paraId="5F25621F" w14:textId="77777777" w:rsidR="00D70D43" w:rsidRDefault="00D70D43" w:rsidP="002E38A2">
      <w:pPr>
        <w:numPr>
          <w:ilvl w:val="1"/>
          <w:numId w:val="10"/>
        </w:numPr>
        <w:contextualSpacing/>
        <w:rPr>
          <w:rFonts w:cstheme="minorHAnsi"/>
          <w:bCs/>
        </w:rPr>
      </w:pPr>
      <w:r w:rsidRPr="007F4B28">
        <w:rPr>
          <w:rFonts w:cstheme="minorHAnsi"/>
          <w:noProof/>
        </w:rPr>
        <w:t xml:space="preserve">Knowledge products on mercury designed and disseminated (Number); </w:t>
      </w:r>
    </w:p>
    <w:p w14:paraId="38321CA0" w14:textId="77777777" w:rsidR="00D70D43" w:rsidRDefault="00D70D43" w:rsidP="002E38A2">
      <w:pPr>
        <w:numPr>
          <w:ilvl w:val="1"/>
          <w:numId w:val="10"/>
        </w:numPr>
        <w:contextualSpacing/>
        <w:rPr>
          <w:rFonts w:cstheme="minorHAnsi"/>
          <w:bCs/>
        </w:rPr>
      </w:pPr>
      <w:r w:rsidRPr="007F4B28">
        <w:rPr>
          <w:rFonts w:cstheme="minorHAnsi"/>
          <w:noProof/>
        </w:rPr>
        <w:t xml:space="preserve">Policy interventions on mercury </w:t>
      </w:r>
      <w:r w:rsidRPr="007F4B28">
        <w:rPr>
          <w:rFonts w:cstheme="minorHAnsi"/>
        </w:rPr>
        <w:t xml:space="preserve">management (including </w:t>
      </w:r>
      <w:proofErr w:type="spellStart"/>
      <w:r w:rsidRPr="007F4B28">
        <w:rPr>
          <w:rFonts w:cstheme="minorHAnsi"/>
        </w:rPr>
        <w:t>uPOPs</w:t>
      </w:r>
      <w:proofErr w:type="spellEnd"/>
      <w:r w:rsidRPr="007F4B28">
        <w:rPr>
          <w:rFonts w:cstheme="minorHAnsi"/>
        </w:rPr>
        <w:t xml:space="preserve"> emissions) designed and consulted (Number)</w:t>
      </w:r>
      <w:r w:rsidRPr="007F4B28">
        <w:rPr>
          <w:rFonts w:cstheme="minorHAnsi"/>
          <w:noProof/>
        </w:rPr>
        <w:t xml:space="preserve">; </w:t>
      </w:r>
    </w:p>
    <w:p w14:paraId="7580E609" w14:textId="77777777" w:rsidR="00D70D43" w:rsidRDefault="00D70D43" w:rsidP="002E38A2">
      <w:pPr>
        <w:numPr>
          <w:ilvl w:val="1"/>
          <w:numId w:val="10"/>
        </w:numPr>
        <w:contextualSpacing/>
        <w:rPr>
          <w:rFonts w:cstheme="minorHAnsi"/>
          <w:bCs/>
        </w:rPr>
      </w:pPr>
      <w:r w:rsidRPr="007F4B28">
        <w:rPr>
          <w:rFonts w:cstheme="minorHAnsi"/>
        </w:rPr>
        <w:t xml:space="preserve">Piloting of best environmental practices and cleaner technologies to help countries meet their Minamata Convention obligations completed and evaluated (Number); </w:t>
      </w:r>
    </w:p>
    <w:p w14:paraId="6D05E526" w14:textId="77777777" w:rsidR="00D70D43" w:rsidRDefault="00D70D43" w:rsidP="002E38A2">
      <w:pPr>
        <w:numPr>
          <w:ilvl w:val="1"/>
          <w:numId w:val="10"/>
        </w:numPr>
        <w:contextualSpacing/>
        <w:rPr>
          <w:rFonts w:cstheme="minorHAnsi"/>
          <w:bCs/>
        </w:rPr>
      </w:pPr>
      <w:r w:rsidRPr="007F4B28">
        <w:rPr>
          <w:rFonts w:cstheme="minorHAnsi"/>
          <w:bCs/>
        </w:rPr>
        <w:t>Mercury use in ASGM reduced at pilot sites (Percentage);</w:t>
      </w:r>
    </w:p>
    <w:p w14:paraId="1634C2A4" w14:textId="77777777" w:rsidR="00D70D43" w:rsidRPr="007F4B28" w:rsidRDefault="00D70D43" w:rsidP="002E38A2">
      <w:pPr>
        <w:numPr>
          <w:ilvl w:val="1"/>
          <w:numId w:val="10"/>
        </w:numPr>
        <w:contextualSpacing/>
        <w:rPr>
          <w:rFonts w:cstheme="minorHAnsi"/>
          <w:bCs/>
        </w:rPr>
      </w:pPr>
      <w:r w:rsidRPr="007F4B28">
        <w:rPr>
          <w:rFonts w:cstheme="minorHAnsi"/>
          <w:noProof/>
        </w:rPr>
        <w:t>Stakeholder outreach events completed (Number).</w:t>
      </w:r>
    </w:p>
    <w:p w14:paraId="011BCD59" w14:textId="77777777" w:rsidR="00D70D43" w:rsidRPr="00A96DDF" w:rsidRDefault="00D70D43" w:rsidP="00D70D43">
      <w:pPr>
        <w:ind w:left="3"/>
        <w:contextualSpacing/>
        <w:rPr>
          <w:rFonts w:cstheme="minorHAnsi"/>
          <w:bCs/>
        </w:rPr>
      </w:pPr>
    </w:p>
    <w:p w14:paraId="22A1728D" w14:textId="77777777" w:rsidR="00D70D43" w:rsidRPr="007F4B28" w:rsidRDefault="00D70D43" w:rsidP="002E38A2">
      <w:pPr>
        <w:numPr>
          <w:ilvl w:val="0"/>
          <w:numId w:val="10"/>
        </w:numPr>
        <w:contextualSpacing/>
        <w:rPr>
          <w:rFonts w:cstheme="minorHAnsi"/>
          <w:bCs/>
        </w:rPr>
      </w:pPr>
      <w:r w:rsidRPr="007F4B28">
        <w:rPr>
          <w:rFonts w:cstheme="minorHAnsi"/>
        </w:rPr>
        <w:t>The following intermediate indicators are proposed, disaggregated by country:</w:t>
      </w:r>
    </w:p>
    <w:p w14:paraId="26B44CF0" w14:textId="77777777" w:rsidR="00D70D43" w:rsidRDefault="00D70D43" w:rsidP="00D70D43">
      <w:pPr>
        <w:ind w:left="3"/>
        <w:contextualSpacing/>
        <w:rPr>
          <w:rFonts w:cstheme="minorHAnsi"/>
          <w:bCs/>
        </w:rPr>
      </w:pPr>
      <w:r w:rsidRPr="007F4B28">
        <w:rPr>
          <w:rFonts w:cstheme="minorHAnsi"/>
          <w:u w:val="single"/>
        </w:rPr>
        <w:t>Component 1</w:t>
      </w:r>
    </w:p>
    <w:p w14:paraId="6DF85DA0" w14:textId="77777777" w:rsidR="00D70D43" w:rsidRDefault="00D70D43" w:rsidP="002E38A2">
      <w:pPr>
        <w:numPr>
          <w:ilvl w:val="1"/>
          <w:numId w:val="10"/>
        </w:numPr>
        <w:contextualSpacing/>
        <w:rPr>
          <w:rFonts w:cstheme="minorHAnsi"/>
          <w:bCs/>
        </w:rPr>
      </w:pPr>
      <w:r w:rsidRPr="007F4B28">
        <w:rPr>
          <w:rFonts w:cstheme="minorHAnsi"/>
        </w:rPr>
        <w:t xml:space="preserve">Mercury use benchmarked in participating countries (volume/Mt) through the regional platform (Yes/No); </w:t>
      </w:r>
    </w:p>
    <w:p w14:paraId="6C2CC1CA" w14:textId="77777777" w:rsidR="00D70D43" w:rsidRDefault="00D70D43" w:rsidP="002E38A2">
      <w:pPr>
        <w:numPr>
          <w:ilvl w:val="1"/>
          <w:numId w:val="10"/>
        </w:numPr>
        <w:contextualSpacing/>
        <w:rPr>
          <w:rFonts w:cstheme="minorHAnsi"/>
          <w:bCs/>
        </w:rPr>
      </w:pPr>
      <w:r w:rsidRPr="007F4B28">
        <w:rPr>
          <w:rFonts w:cstheme="minorHAnsi"/>
        </w:rPr>
        <w:t xml:space="preserve">Trained inspection officers (Number trained, % of participants women); </w:t>
      </w:r>
    </w:p>
    <w:p w14:paraId="0C1351F4" w14:textId="77777777" w:rsidR="00D70D43" w:rsidRPr="007F4B28" w:rsidRDefault="00D70D43" w:rsidP="002E38A2">
      <w:pPr>
        <w:numPr>
          <w:ilvl w:val="1"/>
          <w:numId w:val="10"/>
        </w:numPr>
        <w:contextualSpacing/>
        <w:rPr>
          <w:rFonts w:cstheme="minorHAnsi"/>
          <w:bCs/>
        </w:rPr>
      </w:pPr>
      <w:r w:rsidRPr="007F4B28">
        <w:rPr>
          <w:rFonts w:cstheme="minorHAnsi"/>
        </w:rPr>
        <w:t>Communities involved in planning, implementation and evaluation of demonstration pilots (Number)</w:t>
      </w:r>
      <w:r>
        <w:rPr>
          <w:rFonts w:cstheme="minorHAnsi"/>
        </w:rPr>
        <w:t xml:space="preserve">; </w:t>
      </w:r>
    </w:p>
    <w:p w14:paraId="5C3BC2F3" w14:textId="77777777" w:rsidR="00D70D43" w:rsidRDefault="00D70D43" w:rsidP="00D70D43">
      <w:pPr>
        <w:ind w:left="3"/>
        <w:contextualSpacing/>
        <w:rPr>
          <w:rFonts w:cstheme="minorHAnsi"/>
          <w:bCs/>
        </w:rPr>
      </w:pPr>
      <w:r w:rsidRPr="007F4B28">
        <w:rPr>
          <w:rFonts w:cstheme="minorHAnsi"/>
          <w:u w:val="single"/>
        </w:rPr>
        <w:t>Component 2</w:t>
      </w:r>
    </w:p>
    <w:p w14:paraId="7BB2BECA" w14:textId="77777777" w:rsidR="00D70D43" w:rsidRDefault="00D70D43" w:rsidP="002E38A2">
      <w:pPr>
        <w:numPr>
          <w:ilvl w:val="1"/>
          <w:numId w:val="10"/>
        </w:numPr>
        <w:contextualSpacing/>
        <w:rPr>
          <w:rFonts w:cstheme="minorHAnsi"/>
          <w:bCs/>
        </w:rPr>
      </w:pPr>
      <w:r w:rsidRPr="007F4B28">
        <w:rPr>
          <w:rFonts w:cstheme="minorHAnsi"/>
          <w:bCs/>
        </w:rPr>
        <w:t>Policies and Practices on Mercury use and e-waste management benchmarked in participating countries (Yes/No)</w:t>
      </w:r>
      <w:r>
        <w:rPr>
          <w:rFonts w:cstheme="minorHAnsi"/>
          <w:bCs/>
        </w:rPr>
        <w:t>;</w:t>
      </w:r>
    </w:p>
    <w:p w14:paraId="134E3569" w14:textId="77777777" w:rsidR="00D70D43" w:rsidRDefault="00D70D43" w:rsidP="002E38A2">
      <w:pPr>
        <w:numPr>
          <w:ilvl w:val="1"/>
          <w:numId w:val="10"/>
        </w:numPr>
        <w:contextualSpacing/>
        <w:rPr>
          <w:rFonts w:cstheme="minorHAnsi"/>
          <w:bCs/>
        </w:rPr>
      </w:pPr>
      <w:r w:rsidRPr="007F4B28">
        <w:rPr>
          <w:rFonts w:cstheme="minorHAnsi"/>
        </w:rPr>
        <w:t>Guidelines and checklists for stakeholders and workers developed (Yes/No);</w:t>
      </w:r>
    </w:p>
    <w:p w14:paraId="3A63B185" w14:textId="77777777" w:rsidR="00D70D43" w:rsidRPr="007F4B28" w:rsidRDefault="00D70D43" w:rsidP="002E38A2">
      <w:pPr>
        <w:numPr>
          <w:ilvl w:val="1"/>
          <w:numId w:val="10"/>
        </w:numPr>
        <w:contextualSpacing/>
        <w:rPr>
          <w:rFonts w:cstheme="minorHAnsi"/>
          <w:bCs/>
        </w:rPr>
      </w:pPr>
      <w:r w:rsidRPr="007F4B28">
        <w:rPr>
          <w:rFonts w:cstheme="minorHAnsi"/>
        </w:rPr>
        <w:t>Stakeholder communication strategy developed (Yes/No)</w:t>
      </w:r>
      <w:r>
        <w:rPr>
          <w:rFonts w:cstheme="minorHAnsi"/>
        </w:rPr>
        <w:t xml:space="preserve">; </w:t>
      </w:r>
    </w:p>
    <w:p w14:paraId="1D9E13E2" w14:textId="77777777" w:rsidR="00D70D43" w:rsidRDefault="00D70D43" w:rsidP="00D70D43">
      <w:pPr>
        <w:ind w:left="3"/>
        <w:contextualSpacing/>
        <w:rPr>
          <w:rFonts w:cstheme="minorHAnsi"/>
          <w:bCs/>
        </w:rPr>
      </w:pPr>
      <w:r w:rsidRPr="007F4B28">
        <w:rPr>
          <w:rFonts w:cstheme="minorHAnsi"/>
          <w:u w:val="single"/>
        </w:rPr>
        <w:t>Component 3</w:t>
      </w:r>
    </w:p>
    <w:p w14:paraId="546D9367" w14:textId="77777777" w:rsidR="00D70D43" w:rsidRDefault="00D70D43" w:rsidP="002E38A2">
      <w:pPr>
        <w:numPr>
          <w:ilvl w:val="1"/>
          <w:numId w:val="10"/>
        </w:numPr>
        <w:contextualSpacing/>
        <w:rPr>
          <w:rFonts w:cstheme="minorHAnsi"/>
          <w:bCs/>
        </w:rPr>
      </w:pPr>
      <w:r w:rsidRPr="007F4B28">
        <w:rPr>
          <w:rFonts w:cstheme="minorHAnsi"/>
        </w:rPr>
        <w:t>Training events conducted (Number);</w:t>
      </w:r>
    </w:p>
    <w:p w14:paraId="0ABCA924" w14:textId="77777777" w:rsidR="00D70D43" w:rsidRDefault="00D70D43" w:rsidP="002E38A2">
      <w:pPr>
        <w:numPr>
          <w:ilvl w:val="1"/>
          <w:numId w:val="10"/>
        </w:numPr>
        <w:contextualSpacing/>
        <w:rPr>
          <w:rFonts w:cstheme="minorHAnsi"/>
          <w:bCs/>
        </w:rPr>
      </w:pPr>
      <w:r w:rsidRPr="007F4B28">
        <w:rPr>
          <w:rFonts w:cstheme="minorHAnsi"/>
        </w:rPr>
        <w:t>Private sector in selected e-waste pilot project sites engaged (Yes/No);</w:t>
      </w:r>
    </w:p>
    <w:p w14:paraId="02B191F0" w14:textId="4EBBB001" w:rsidR="00D70D43" w:rsidRDefault="00D70D43" w:rsidP="00D70D43">
      <w:pPr>
        <w:contextualSpacing/>
        <w:rPr>
          <w:rFonts w:cstheme="minorHAnsi"/>
          <w:bCs/>
        </w:rPr>
      </w:pPr>
    </w:p>
    <w:p w14:paraId="115C021D" w14:textId="77777777" w:rsidR="00BE0DA5" w:rsidRDefault="00BE0DA5" w:rsidP="00D70D43">
      <w:pPr>
        <w:contextualSpacing/>
        <w:rPr>
          <w:rFonts w:cstheme="minorHAnsi"/>
          <w:bCs/>
        </w:rPr>
      </w:pPr>
    </w:p>
    <w:p w14:paraId="1AA479A2" w14:textId="70C7140B" w:rsidR="00D70D43" w:rsidRDefault="00D70D43" w:rsidP="00D70D43">
      <w:pPr>
        <w:contextualSpacing/>
        <w:rPr>
          <w:rFonts w:eastAsia="SimSun" w:cstheme="minorHAnsi"/>
          <w:b/>
        </w:rPr>
      </w:pPr>
      <w:r w:rsidRPr="007F4B28">
        <w:rPr>
          <w:rFonts w:eastAsia="SimSun" w:cstheme="minorHAnsi"/>
          <w:b/>
        </w:rPr>
        <w:t>B – Project Components</w:t>
      </w:r>
      <w:bookmarkStart w:id="17" w:name="_Hlk531092117"/>
    </w:p>
    <w:p w14:paraId="2058D24C" w14:textId="77777777" w:rsidR="00BE0DA5" w:rsidRPr="00BE0DA5" w:rsidRDefault="00BE0DA5" w:rsidP="00D70D43">
      <w:pPr>
        <w:contextualSpacing/>
        <w:rPr>
          <w:rFonts w:cstheme="minorHAnsi"/>
          <w:bCs/>
        </w:rPr>
      </w:pPr>
    </w:p>
    <w:p w14:paraId="32DAED88" w14:textId="77777777" w:rsidR="00D70D43" w:rsidRDefault="00D70D43" w:rsidP="002E38A2">
      <w:pPr>
        <w:numPr>
          <w:ilvl w:val="0"/>
          <w:numId w:val="10"/>
        </w:numPr>
        <w:contextualSpacing/>
        <w:jc w:val="both"/>
        <w:rPr>
          <w:rFonts w:cstheme="minorHAnsi"/>
          <w:bCs/>
        </w:rPr>
      </w:pPr>
      <w:r w:rsidRPr="005F1A55">
        <w:rPr>
          <w:rFonts w:eastAsia="MS Mincho" w:cstheme="minorHAnsi"/>
          <w:b/>
        </w:rPr>
        <w:t xml:space="preserve">Component 1: Institutional strengthening, knowledge and capacity building (US $ 1.5 million GEF). </w:t>
      </w:r>
      <w:r w:rsidRPr="005F1A55">
        <w:rPr>
          <w:rFonts w:eastAsia="Times New Roman" w:cstheme="minorHAnsi"/>
        </w:rPr>
        <w:t xml:space="preserve">This component will </w:t>
      </w:r>
      <w:proofErr w:type="gramStart"/>
      <w:r w:rsidRPr="005F1A55">
        <w:rPr>
          <w:rFonts w:eastAsia="Times New Roman" w:cstheme="minorHAnsi"/>
        </w:rPr>
        <w:t>provide assistance to</w:t>
      </w:r>
      <w:proofErr w:type="gramEnd"/>
      <w:r w:rsidRPr="005F1A55">
        <w:rPr>
          <w:rFonts w:eastAsia="Times New Roman" w:cstheme="minorHAnsi"/>
        </w:rPr>
        <w:t xml:space="preserve"> strengthen the knowledge and capacity building for sound management of mining in Tanzania, focusing on the Artisanal Small-scale Gold Mining (ASGM) sector. Project activities build on the concluded UNEP Integrated Health and Environment Observatories and Legal and Institutional Strengthening for the Sound Management of Chemicals in Africa (African </w:t>
      </w:r>
      <w:proofErr w:type="spellStart"/>
      <w:r w:rsidRPr="005F1A55">
        <w:rPr>
          <w:rFonts w:eastAsia="Times New Roman" w:cstheme="minorHAnsi"/>
        </w:rPr>
        <w:t>ChemObs</w:t>
      </w:r>
      <w:proofErr w:type="spellEnd"/>
      <w:r w:rsidRPr="005F1A55">
        <w:rPr>
          <w:rFonts w:eastAsia="Times New Roman" w:cstheme="minorHAnsi"/>
        </w:rPr>
        <w:t xml:space="preserve">) Project. </w:t>
      </w:r>
    </w:p>
    <w:p w14:paraId="13D73E4B" w14:textId="77777777" w:rsidR="00D70D43" w:rsidRPr="00FA78A2" w:rsidRDefault="00D70D43" w:rsidP="00D70D43">
      <w:pPr>
        <w:ind w:left="3"/>
        <w:contextualSpacing/>
        <w:rPr>
          <w:rFonts w:cstheme="minorHAnsi"/>
          <w:bCs/>
        </w:rPr>
      </w:pPr>
    </w:p>
    <w:p w14:paraId="437D8C73" w14:textId="77777777" w:rsidR="00D70D43" w:rsidRPr="005F1A55" w:rsidRDefault="00D70D43" w:rsidP="002E38A2">
      <w:pPr>
        <w:numPr>
          <w:ilvl w:val="0"/>
          <w:numId w:val="10"/>
        </w:numPr>
        <w:contextualSpacing/>
        <w:jc w:val="both"/>
        <w:rPr>
          <w:rFonts w:cstheme="minorHAnsi"/>
          <w:bCs/>
        </w:rPr>
      </w:pPr>
      <w:r w:rsidRPr="005F1A55">
        <w:rPr>
          <w:rFonts w:eastAsia="MS Mincho" w:cstheme="minorHAnsi"/>
        </w:rPr>
        <w:t xml:space="preserve">The component will </w:t>
      </w:r>
      <w:r w:rsidRPr="005F1A55">
        <w:rPr>
          <w:rFonts w:eastAsia="Times New Roman" w:cstheme="minorHAnsi"/>
        </w:rPr>
        <w:t>enhance institutional strengthening and capacity building for agencies that manage ASGM, including</w:t>
      </w:r>
      <w:r w:rsidRPr="005F1A55">
        <w:rPr>
          <w:rFonts w:eastAsia="MS Mincho" w:cstheme="minorHAnsi"/>
        </w:rPr>
        <w:t xml:space="preserve"> institutional players involved in regulating mercury </w:t>
      </w:r>
      <w:r w:rsidRPr="005F1A55">
        <w:rPr>
          <w:rFonts w:eastAsia="Times New Roman" w:cstheme="minorHAnsi"/>
        </w:rPr>
        <w:t>trade</w:t>
      </w:r>
      <w:r w:rsidRPr="005F1A55">
        <w:rPr>
          <w:rFonts w:eastAsia="MS Mincho" w:cstheme="minorHAnsi"/>
        </w:rPr>
        <w:t xml:space="preserve"> such as the Government Chemist Laboratory Authority (GCLA), customs</w:t>
      </w:r>
      <w:r w:rsidRPr="005F1A55">
        <w:rPr>
          <w:rFonts w:eastAsia="Times New Roman" w:cstheme="minorHAnsi"/>
        </w:rPr>
        <w:t>/border control tax officials,</w:t>
      </w:r>
      <w:r w:rsidRPr="005F1A55">
        <w:rPr>
          <w:rFonts w:eastAsia="MS Mincho" w:cstheme="minorHAnsi"/>
        </w:rPr>
        <w:t xml:space="preserve"> and business community</w:t>
      </w:r>
      <w:r w:rsidRPr="005F1A55">
        <w:rPr>
          <w:rFonts w:eastAsia="Times New Roman" w:cstheme="minorHAnsi"/>
        </w:rPr>
        <w:t>. Key</w:t>
      </w:r>
      <w:r w:rsidRPr="005F1A55">
        <w:rPr>
          <w:rFonts w:eastAsia="MS Mincho" w:cstheme="minorHAnsi"/>
        </w:rPr>
        <w:t xml:space="preserve"> </w:t>
      </w:r>
      <w:r w:rsidRPr="005F1A55">
        <w:rPr>
          <w:rFonts w:eastAsia="MS Mincho" w:cstheme="minorHAnsi"/>
        </w:rPr>
        <w:lastRenderedPageBreak/>
        <w:t>areas of capacity building will include: monitoring of health and environmental indicators</w:t>
      </w:r>
      <w:r w:rsidRPr="005F1A55">
        <w:rPr>
          <w:rFonts w:eastAsia="Times New Roman" w:cstheme="minorHAnsi"/>
        </w:rPr>
        <w:t>;</w:t>
      </w:r>
      <w:r w:rsidRPr="005F1A55">
        <w:rPr>
          <w:rFonts w:eastAsia="MS Mincho" w:cstheme="minorHAnsi"/>
        </w:rPr>
        <w:t xml:space="preserve"> implementation support of mining and environmental legal frameworks</w:t>
      </w:r>
      <w:r w:rsidRPr="005F1A55">
        <w:rPr>
          <w:rFonts w:eastAsia="Times New Roman" w:cstheme="minorHAnsi"/>
        </w:rPr>
        <w:t>;</w:t>
      </w:r>
      <w:r w:rsidRPr="005F1A55">
        <w:rPr>
          <w:rFonts w:eastAsia="MS Mincho" w:cstheme="minorHAnsi"/>
        </w:rPr>
        <w:t xml:space="preserve"> consultation with local stakeholders and disclosure of relevant information to mining communities</w:t>
      </w:r>
      <w:r w:rsidRPr="005F1A55">
        <w:rPr>
          <w:rFonts w:eastAsia="Times New Roman" w:cstheme="minorHAnsi"/>
        </w:rPr>
        <w:t>;</w:t>
      </w:r>
      <w:r w:rsidRPr="005F1A55">
        <w:rPr>
          <w:rFonts w:eastAsia="MS Mincho" w:cstheme="minorHAnsi"/>
        </w:rPr>
        <w:t xml:space="preserve"> support participation of stakeholders and coordination of stakeholders at national and regional level in the learning and knowledge sharing activities; and maintaining an inventory consistent with requirements of the Minamata Convention. </w:t>
      </w:r>
    </w:p>
    <w:p w14:paraId="42820360" w14:textId="77777777" w:rsidR="00D70D43" w:rsidRPr="005F1A55" w:rsidRDefault="00D70D43" w:rsidP="00D70D43">
      <w:pPr>
        <w:ind w:left="720"/>
        <w:contextualSpacing/>
        <w:rPr>
          <w:rFonts w:eastAsia="MS Mincho" w:cstheme="minorHAnsi"/>
        </w:rPr>
      </w:pPr>
    </w:p>
    <w:p w14:paraId="10C84D6C"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 xml:space="preserve">A </w:t>
      </w:r>
      <w:r w:rsidRPr="005F1A55">
        <w:rPr>
          <w:rFonts w:eastAsia="Times New Roman" w:cstheme="minorHAnsi"/>
          <w:noProof/>
        </w:rPr>
        <w:t>country-level</w:t>
      </w:r>
      <w:r w:rsidRPr="005F1A55">
        <w:rPr>
          <w:rFonts w:eastAsia="Times New Roman" w:cstheme="minorHAnsi"/>
        </w:rPr>
        <w:t xml:space="preserve"> inventory and tracking of mercury import and use in the ASGM sector will </w:t>
      </w:r>
      <w:r w:rsidRPr="005F1A55">
        <w:rPr>
          <w:rFonts w:eastAsia="Times New Roman" w:cstheme="minorHAnsi"/>
          <w:noProof/>
        </w:rPr>
        <w:t>be implemented</w:t>
      </w:r>
      <w:r w:rsidRPr="005F1A55">
        <w:rPr>
          <w:rFonts w:eastAsia="Times New Roman" w:cstheme="minorHAnsi"/>
        </w:rPr>
        <w:t xml:space="preserve"> to better understand trade-related issues of importance. This will include training for artisanal miners</w:t>
      </w:r>
      <w:r w:rsidRPr="005F1A55">
        <w:rPr>
          <w:rFonts w:eastAsia="Times New Roman" w:cstheme="minorHAnsi"/>
          <w:b/>
          <w:i/>
        </w:rPr>
        <w:t xml:space="preserve"> </w:t>
      </w:r>
      <w:r w:rsidRPr="005F1A55">
        <w:rPr>
          <w:rFonts w:eastAsia="Times New Roman" w:cstheme="minorHAnsi"/>
        </w:rPr>
        <w:t>to understand the cost-benefit analysis of procuring mercury from illegal traders versus associated environmental health costs that are unaddressed due to non-transparent transactions.</w:t>
      </w:r>
      <w:r w:rsidRPr="005F1A55">
        <w:rPr>
          <w:rFonts w:eastAsia="MS Mincho" w:cstheme="minorHAnsi"/>
        </w:rPr>
        <w:t xml:space="preserve"> The policy and regulatory aspects of mining will be strengthened</w:t>
      </w:r>
      <w:r w:rsidRPr="005F1A55">
        <w:rPr>
          <w:rFonts w:eastAsia="MS Mincho" w:cstheme="minorHAnsi"/>
          <w:b/>
        </w:rPr>
        <w:t xml:space="preserve"> </w:t>
      </w:r>
      <w:r w:rsidRPr="005F1A55">
        <w:rPr>
          <w:rFonts w:eastAsia="MS Mincho" w:cstheme="minorHAnsi"/>
        </w:rPr>
        <w:t>to include provisions for recognition of legal import of mercury</w:t>
      </w:r>
      <w:r w:rsidRPr="005F1A55">
        <w:rPr>
          <w:rFonts w:eastAsia="Times New Roman" w:cstheme="minorHAnsi"/>
        </w:rPr>
        <w:t xml:space="preserve">. </w:t>
      </w:r>
    </w:p>
    <w:p w14:paraId="6F4EF003" w14:textId="77777777" w:rsidR="00D70D43" w:rsidRPr="005F1A55" w:rsidRDefault="00D70D43" w:rsidP="00D70D43">
      <w:pPr>
        <w:rPr>
          <w:rFonts w:eastAsia="Times New Roman" w:cstheme="minorHAnsi"/>
        </w:rPr>
      </w:pPr>
    </w:p>
    <w:p w14:paraId="425AA3BE"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 xml:space="preserve">This component </w:t>
      </w:r>
      <w:r w:rsidRPr="005F1A55">
        <w:rPr>
          <w:rFonts w:eastAsia="Times New Roman" w:cstheme="minorHAnsi"/>
          <w:noProof/>
        </w:rPr>
        <w:t>will also promote</w:t>
      </w:r>
      <w:r w:rsidRPr="005F1A55">
        <w:rPr>
          <w:rFonts w:eastAsia="Times New Roman" w:cstheme="minorHAnsi"/>
        </w:rPr>
        <w:t xml:space="preserve"> transparency along the entire value chain. This will include facilitating direct access of </w:t>
      </w:r>
      <w:r w:rsidRPr="005F1A55">
        <w:rPr>
          <w:rFonts w:eastAsia="MS Mincho" w:cstheme="minorHAnsi"/>
        </w:rPr>
        <w:t xml:space="preserve">miners to the </w:t>
      </w:r>
      <w:r w:rsidRPr="005F1A55">
        <w:rPr>
          <w:rFonts w:eastAsia="Times New Roman" w:cstheme="minorHAnsi"/>
        </w:rPr>
        <w:t>market leading</w:t>
      </w:r>
      <w:r w:rsidRPr="005F1A55">
        <w:rPr>
          <w:rFonts w:eastAsia="MS Mincho" w:cstheme="minorHAnsi"/>
        </w:rPr>
        <w:t xml:space="preserve"> to </w:t>
      </w:r>
      <w:r w:rsidRPr="005F1A55">
        <w:rPr>
          <w:rFonts w:eastAsia="Times New Roman" w:cstheme="minorHAnsi"/>
        </w:rPr>
        <w:t>increased price awareness and bargaining power, allowing for a price in line with the global market rate, and greater economic and social stability. Furthermore, improvements</w:t>
      </w:r>
      <w:r w:rsidRPr="005F1A55">
        <w:rPr>
          <w:rFonts w:eastAsia="MS Mincho" w:cstheme="minorHAnsi"/>
        </w:rPr>
        <w:t xml:space="preserve"> to </w:t>
      </w:r>
      <w:r w:rsidRPr="005F1A55">
        <w:rPr>
          <w:rFonts w:eastAsia="Times New Roman" w:cstheme="minorHAnsi"/>
        </w:rPr>
        <w:t>the</w:t>
      </w:r>
      <w:r w:rsidRPr="005F1A55">
        <w:rPr>
          <w:rFonts w:eastAsia="MS Mincho" w:cstheme="minorHAnsi"/>
        </w:rPr>
        <w:t xml:space="preserve"> supply chain of mercury and gold will include procurement of cheap and reliable </w:t>
      </w:r>
      <w:r w:rsidRPr="005F1A55">
        <w:rPr>
          <w:rFonts w:eastAsia="Times New Roman" w:cstheme="minorHAnsi"/>
        </w:rPr>
        <w:t>sources of</w:t>
      </w:r>
      <w:r w:rsidRPr="005F1A55">
        <w:rPr>
          <w:rFonts w:eastAsia="MS Mincho" w:cstheme="minorHAnsi"/>
        </w:rPr>
        <w:t xml:space="preserve"> mercury, access to credit and technical </w:t>
      </w:r>
      <w:r w:rsidRPr="005F1A55">
        <w:rPr>
          <w:rFonts w:eastAsia="Times New Roman" w:cstheme="minorHAnsi"/>
          <w:noProof/>
        </w:rPr>
        <w:t>know-how,</w:t>
      </w:r>
      <w:r w:rsidRPr="005F1A55">
        <w:rPr>
          <w:rFonts w:eastAsia="Times New Roman" w:cstheme="minorHAnsi"/>
        </w:rPr>
        <w:t xml:space="preserve"> licensing</w:t>
      </w:r>
      <w:r w:rsidRPr="005F1A55">
        <w:rPr>
          <w:rFonts w:eastAsia="MS Mincho" w:cstheme="minorHAnsi"/>
        </w:rPr>
        <w:t>, extraction and amalgamation</w:t>
      </w:r>
      <w:r w:rsidRPr="005F1A55">
        <w:rPr>
          <w:rFonts w:eastAsia="Times New Roman" w:cstheme="minorHAnsi"/>
        </w:rPr>
        <w:t>,</w:t>
      </w:r>
      <w:r w:rsidRPr="005F1A55">
        <w:rPr>
          <w:rFonts w:eastAsia="MS Mincho" w:cstheme="minorHAnsi"/>
        </w:rPr>
        <w:t xml:space="preserve"> final gold sales</w:t>
      </w:r>
      <w:r w:rsidRPr="005F1A55">
        <w:rPr>
          <w:rFonts w:eastAsia="Times New Roman" w:cstheme="minorHAnsi"/>
          <w:noProof/>
        </w:rPr>
        <w:t>,</w:t>
      </w:r>
      <w:r w:rsidRPr="005F1A55">
        <w:rPr>
          <w:rFonts w:eastAsia="MS Mincho" w:cstheme="minorHAnsi"/>
        </w:rPr>
        <w:t xml:space="preserve"> and </w:t>
      </w:r>
      <w:r w:rsidRPr="005F1A55">
        <w:rPr>
          <w:rFonts w:eastAsia="Times New Roman" w:cstheme="minorHAnsi"/>
          <w:noProof/>
        </w:rPr>
        <w:t>pricing</w:t>
      </w:r>
      <w:r w:rsidRPr="005F1A55">
        <w:rPr>
          <w:rFonts w:eastAsia="MS Mincho" w:cstheme="minorHAnsi"/>
        </w:rPr>
        <w:t xml:space="preserve">. Artisanal miners are expected to use </w:t>
      </w:r>
      <w:r w:rsidRPr="005F1A55">
        <w:rPr>
          <w:rFonts w:eastAsia="Times New Roman" w:cstheme="minorHAnsi"/>
        </w:rPr>
        <w:t>the</w:t>
      </w:r>
      <w:r w:rsidRPr="005F1A55">
        <w:rPr>
          <w:rFonts w:eastAsia="MS Mincho" w:cstheme="minorHAnsi"/>
        </w:rPr>
        <w:t xml:space="preserve"> benefits</w:t>
      </w:r>
      <w:r w:rsidRPr="005F1A55">
        <w:rPr>
          <w:rFonts w:eastAsia="Times New Roman" w:cstheme="minorHAnsi"/>
        </w:rPr>
        <w:t xml:space="preserve"> of increased transparency</w:t>
      </w:r>
      <w:r w:rsidRPr="005F1A55">
        <w:rPr>
          <w:rFonts w:eastAsia="MS Mincho" w:cstheme="minorHAnsi"/>
        </w:rPr>
        <w:t xml:space="preserve"> to increase their organizational ability to trade responsibly, to respect and improve the lives of those who work with them, the communities in which they work</w:t>
      </w:r>
      <w:r w:rsidRPr="005F1A55">
        <w:rPr>
          <w:rFonts w:eastAsia="Times New Roman" w:cstheme="minorHAnsi"/>
        </w:rPr>
        <w:t>, and the environment. The recently completed Mercury Trade Diagnostic study revealed the lack of transparency in import, use, and disposal of mercury in the ASGM sector. The component will also assist in facilitating procurement of simple equipment for air, water, and soil monitoring to comply with necessary steps required to implement the Minamata Convention.</w:t>
      </w:r>
    </w:p>
    <w:p w14:paraId="2A488538" w14:textId="77777777" w:rsidR="00D70D43" w:rsidRPr="005F1A55" w:rsidRDefault="00D70D43" w:rsidP="00D70D43">
      <w:pPr>
        <w:ind w:left="720"/>
        <w:contextualSpacing/>
        <w:rPr>
          <w:rFonts w:eastAsia="MS Mincho" w:cstheme="minorHAnsi"/>
        </w:rPr>
      </w:pPr>
    </w:p>
    <w:p w14:paraId="3B2B7CFA"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noProof/>
        </w:rPr>
        <w:t>To strengthen stakeholder coordination and participation in ASGM efforts, this component will support workshops and other fora to engage national level stakeholders as part of regional learning and knowledge sharing activities on chemicals management.</w:t>
      </w:r>
    </w:p>
    <w:p w14:paraId="0E664F2D" w14:textId="77777777" w:rsidR="00D70D43" w:rsidRPr="00202A22" w:rsidRDefault="00D70D43" w:rsidP="00D70D43">
      <w:pPr>
        <w:rPr>
          <w:rFonts w:eastAsia="Times New Roman" w:cstheme="minorHAnsi"/>
          <w:i/>
          <w:u w:val="single"/>
        </w:rPr>
      </w:pPr>
    </w:p>
    <w:p w14:paraId="05F82859"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i/>
          <w:u w:val="single"/>
        </w:rPr>
        <w:t>Expected outputs of Component 1</w:t>
      </w:r>
      <w:r w:rsidRPr="005F1A55">
        <w:rPr>
          <w:rFonts w:eastAsia="Times New Roman" w:cstheme="minorHAnsi"/>
          <w:bCs/>
          <w:i/>
        </w:rPr>
        <w:t>:</w:t>
      </w:r>
    </w:p>
    <w:p w14:paraId="1C309E40" w14:textId="77777777" w:rsidR="00D70D43" w:rsidRDefault="00D70D43" w:rsidP="00D70D43">
      <w:pPr>
        <w:pStyle w:val="ListParagraph"/>
        <w:rPr>
          <w:rFonts w:eastAsia="Times New Roman" w:cstheme="minorHAnsi"/>
          <w:lang w:eastAsia="x-none"/>
        </w:rPr>
      </w:pPr>
    </w:p>
    <w:p w14:paraId="1033AE68"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lang w:eastAsia="x-none"/>
        </w:rPr>
        <w:t>Regional forum for monitoring and decision-making on use and trade of mercury.</w:t>
      </w:r>
    </w:p>
    <w:p w14:paraId="29B68541"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lang w:eastAsia="x-none"/>
        </w:rPr>
        <w:t>Strengthened capacity for monitoring of mercury data (usage and trade).</w:t>
      </w:r>
    </w:p>
    <w:p w14:paraId="5A22CE4D"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lang w:eastAsia="x-none"/>
        </w:rPr>
        <w:t>Established inventory of mercury import data at country level.</w:t>
      </w:r>
    </w:p>
    <w:p w14:paraId="045148F3"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bCs/>
        </w:rPr>
        <w:t>Participation by stakeholders in regional platform events undertaken for coordination and knowledge sharing.</w:t>
      </w:r>
    </w:p>
    <w:p w14:paraId="3D68581C"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bCs/>
        </w:rPr>
        <w:t>Training materials developed, and training delivered to different stakeholder groups on importation, transportation, use and disposal of mercury.</w:t>
      </w:r>
    </w:p>
    <w:p w14:paraId="67090F19"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bCs/>
        </w:rPr>
        <w:t>Procurement of equipment for air, water and soil monitoring.</w:t>
      </w:r>
    </w:p>
    <w:p w14:paraId="6195259F" w14:textId="77777777" w:rsidR="00D70D43" w:rsidRDefault="00D70D43" w:rsidP="00D70D43">
      <w:pPr>
        <w:ind w:left="3"/>
        <w:contextualSpacing/>
        <w:jc w:val="both"/>
        <w:rPr>
          <w:rFonts w:eastAsia="Times New Roman" w:cstheme="minorHAnsi"/>
        </w:rPr>
      </w:pPr>
    </w:p>
    <w:p w14:paraId="31D1220C" w14:textId="77777777" w:rsidR="00D70D43" w:rsidRDefault="00D70D43" w:rsidP="00D70D43">
      <w:pPr>
        <w:ind w:left="3"/>
        <w:contextualSpacing/>
        <w:jc w:val="both"/>
        <w:rPr>
          <w:rFonts w:eastAsia="Times New Roman" w:cstheme="minorHAnsi"/>
        </w:rPr>
      </w:pPr>
    </w:p>
    <w:p w14:paraId="3F1405AB"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MS Mincho" w:cstheme="minorHAnsi"/>
          <w:b/>
        </w:rPr>
        <w:lastRenderedPageBreak/>
        <w:t>Component 2: Support to policy dialogue and regulatory enhancements (US $ 1.5 million GEF)</w:t>
      </w:r>
      <w:r>
        <w:rPr>
          <w:rFonts w:eastAsia="Times New Roman" w:cstheme="minorHAnsi"/>
        </w:rPr>
        <w:t xml:space="preserve">. </w:t>
      </w:r>
      <w:r w:rsidRPr="005F1A55">
        <w:rPr>
          <w:rFonts w:eastAsia="Times New Roman" w:cstheme="minorHAnsi"/>
        </w:rPr>
        <w:t>Following amendments to</w:t>
      </w:r>
      <w:r w:rsidRPr="005F1A55">
        <w:rPr>
          <w:rFonts w:eastAsia="MS Mincho" w:cstheme="minorHAnsi"/>
        </w:rPr>
        <w:t xml:space="preserve"> the Mining Act, 2010 </w:t>
      </w:r>
      <w:r w:rsidRPr="005F1A55">
        <w:rPr>
          <w:rFonts w:eastAsia="Times New Roman" w:cstheme="minorHAnsi"/>
        </w:rPr>
        <w:t xml:space="preserve">in </w:t>
      </w:r>
      <w:r w:rsidRPr="005F1A55">
        <w:rPr>
          <w:rFonts w:eastAsia="MS Mincho" w:cstheme="minorHAnsi"/>
        </w:rPr>
        <w:t>2017</w:t>
      </w:r>
      <w:r w:rsidRPr="005F1A55">
        <w:rPr>
          <w:rFonts w:eastAsia="Times New Roman" w:cstheme="minorHAnsi"/>
        </w:rPr>
        <w:t>, the</w:t>
      </w:r>
      <w:r w:rsidRPr="005F1A55">
        <w:rPr>
          <w:rFonts w:eastAsia="MS Mincho" w:cstheme="minorHAnsi"/>
        </w:rPr>
        <w:t xml:space="preserve"> Environmental Protection Plan (EPP) must be submitted to the Mining Commission </w:t>
      </w:r>
      <w:r w:rsidRPr="005F1A55">
        <w:rPr>
          <w:rFonts w:eastAsia="Times New Roman" w:cstheme="minorHAnsi"/>
        </w:rPr>
        <w:t>ahead of the granting of</w:t>
      </w:r>
      <w:r w:rsidRPr="005F1A55">
        <w:rPr>
          <w:rFonts w:eastAsia="MS Mincho" w:cstheme="minorHAnsi"/>
        </w:rPr>
        <w:t xml:space="preserve"> a Primary Mining License</w:t>
      </w:r>
      <w:r w:rsidRPr="005F1A55">
        <w:rPr>
          <w:rFonts w:eastAsia="Times New Roman" w:cstheme="minorHAnsi"/>
        </w:rPr>
        <w:t>. License holders are instructed to</w:t>
      </w:r>
      <w:r w:rsidRPr="005F1A55">
        <w:rPr>
          <w:rFonts w:eastAsia="MS Mincho" w:cstheme="minorHAnsi"/>
        </w:rPr>
        <w:t xml:space="preserve"> conduct baseline environmental investigations and propose </w:t>
      </w:r>
      <w:r w:rsidRPr="005F1A55">
        <w:rPr>
          <w:rFonts w:eastAsia="Times New Roman" w:cstheme="minorHAnsi"/>
        </w:rPr>
        <w:t xml:space="preserve">mitigation measures of the </w:t>
      </w:r>
      <w:r w:rsidRPr="005F1A55">
        <w:rPr>
          <w:rFonts w:eastAsia="MS Mincho" w:cstheme="minorHAnsi"/>
        </w:rPr>
        <w:t xml:space="preserve">environmental impacts </w:t>
      </w:r>
      <w:r w:rsidRPr="005F1A55">
        <w:rPr>
          <w:rFonts w:eastAsia="Times New Roman" w:cstheme="minorHAnsi"/>
        </w:rPr>
        <w:t>as necessary, whereas</w:t>
      </w:r>
      <w:r w:rsidRPr="005F1A55">
        <w:rPr>
          <w:rFonts w:eastAsia="MS Mincho" w:cstheme="minorHAnsi"/>
        </w:rPr>
        <w:t xml:space="preserve"> NEMC will participate in the approval process of the EPP </w:t>
      </w:r>
      <w:r w:rsidRPr="005F1A55">
        <w:rPr>
          <w:rFonts w:eastAsia="Times New Roman" w:cstheme="minorHAnsi"/>
        </w:rPr>
        <w:t>and</w:t>
      </w:r>
      <w:r w:rsidRPr="005F1A55">
        <w:rPr>
          <w:rFonts w:eastAsia="MS Mincho" w:cstheme="minorHAnsi"/>
        </w:rPr>
        <w:t xml:space="preserve"> ensure that the proposed mitigation measures are adequate and conform with requirements of the EMA (2004). This component will support </w:t>
      </w:r>
      <w:r w:rsidRPr="005F1A55">
        <w:rPr>
          <w:rFonts w:eastAsia="Times New Roman" w:cstheme="minorHAnsi"/>
        </w:rPr>
        <w:t xml:space="preserve">the </w:t>
      </w:r>
      <w:r w:rsidRPr="005F1A55">
        <w:rPr>
          <w:rFonts w:eastAsia="MS Mincho" w:cstheme="minorHAnsi"/>
        </w:rPr>
        <w:t>Government’s efforts in strengthening current environmental policies and regulations</w:t>
      </w:r>
      <w:r w:rsidRPr="005F1A55">
        <w:rPr>
          <w:rFonts w:eastAsia="Times New Roman" w:cstheme="minorHAnsi"/>
        </w:rPr>
        <w:t>,</w:t>
      </w:r>
      <w:r w:rsidRPr="005F1A55">
        <w:rPr>
          <w:rFonts w:eastAsia="MS Mincho" w:cstheme="minorHAnsi"/>
        </w:rPr>
        <w:t xml:space="preserve"> and capacity to monitor</w:t>
      </w:r>
      <w:r w:rsidRPr="005F1A55">
        <w:rPr>
          <w:rFonts w:eastAsia="Times New Roman" w:cstheme="minorHAnsi"/>
        </w:rPr>
        <w:t>,</w:t>
      </w:r>
      <w:r w:rsidRPr="005F1A55">
        <w:rPr>
          <w:rFonts w:eastAsia="MS Mincho" w:cstheme="minorHAnsi"/>
        </w:rPr>
        <w:t xml:space="preserve"> screen</w:t>
      </w:r>
      <w:r w:rsidRPr="005F1A55">
        <w:rPr>
          <w:rFonts w:eastAsia="Times New Roman" w:cstheme="minorHAnsi"/>
        </w:rPr>
        <w:t>,</w:t>
      </w:r>
      <w:r w:rsidRPr="005F1A55">
        <w:rPr>
          <w:rFonts w:eastAsia="MS Mincho" w:cstheme="minorHAnsi"/>
        </w:rPr>
        <w:t xml:space="preserve"> and evaluate health and environmental risks associated with ASGM.</w:t>
      </w:r>
    </w:p>
    <w:p w14:paraId="7E2A4CC1" w14:textId="77777777" w:rsidR="00D70D43" w:rsidRPr="009F5E06" w:rsidRDefault="00D70D43" w:rsidP="00D70D43">
      <w:pPr>
        <w:ind w:left="3"/>
        <w:contextualSpacing/>
        <w:jc w:val="both"/>
        <w:rPr>
          <w:rFonts w:eastAsia="Times New Roman" w:cstheme="minorHAnsi"/>
        </w:rPr>
      </w:pPr>
    </w:p>
    <w:p w14:paraId="37CF8DF0"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MS Mincho" w:cstheme="minorHAnsi"/>
        </w:rPr>
        <w:t xml:space="preserve">The component will assist </w:t>
      </w:r>
      <w:r w:rsidRPr="005F1A55">
        <w:rPr>
          <w:rFonts w:eastAsia="Times New Roman" w:cstheme="minorHAnsi"/>
        </w:rPr>
        <w:t>in developing a</w:t>
      </w:r>
      <w:r w:rsidRPr="005F1A55">
        <w:rPr>
          <w:rFonts w:eastAsia="MS Mincho" w:cstheme="minorHAnsi"/>
        </w:rPr>
        <w:t xml:space="preserve"> strategy for promoting the reduction of emissions and releases of, and exposure to, mercury in </w:t>
      </w:r>
      <w:r w:rsidRPr="005F1A55">
        <w:rPr>
          <w:rFonts w:eastAsia="Times New Roman" w:cstheme="minorHAnsi"/>
        </w:rPr>
        <w:t>ASGM</w:t>
      </w:r>
      <w:r w:rsidRPr="005F1A55">
        <w:rPr>
          <w:rFonts w:eastAsia="MS Mincho" w:cstheme="minorHAnsi"/>
        </w:rPr>
        <w:t xml:space="preserve"> and processing, including mercury-free methods</w:t>
      </w:r>
      <w:r w:rsidRPr="005F1A55">
        <w:rPr>
          <w:rFonts w:eastAsia="Times New Roman" w:cstheme="minorHAnsi"/>
        </w:rPr>
        <w:t>, managing</w:t>
      </w:r>
      <w:r w:rsidRPr="005F1A55">
        <w:rPr>
          <w:rFonts w:eastAsia="MS Mincho" w:cstheme="minorHAnsi"/>
        </w:rPr>
        <w:t xml:space="preserve"> trade</w:t>
      </w:r>
      <w:r w:rsidRPr="005F1A55">
        <w:rPr>
          <w:rFonts w:eastAsia="Times New Roman" w:cstheme="minorHAnsi"/>
        </w:rPr>
        <w:t>,</w:t>
      </w:r>
      <w:r w:rsidRPr="005F1A55">
        <w:rPr>
          <w:rFonts w:eastAsia="MS Mincho" w:cstheme="minorHAnsi"/>
        </w:rPr>
        <w:t xml:space="preserve"> and preventing the diversion of mercury and mercury compounds from both foreign and domestic sources to use in </w:t>
      </w:r>
      <w:r w:rsidRPr="005F1A55">
        <w:rPr>
          <w:rFonts w:eastAsia="Times New Roman" w:cstheme="minorHAnsi"/>
        </w:rPr>
        <w:t>ASGM</w:t>
      </w:r>
      <w:r w:rsidRPr="005F1A55">
        <w:rPr>
          <w:rFonts w:eastAsia="MS Mincho" w:cstheme="minorHAnsi"/>
        </w:rPr>
        <w:t xml:space="preserve"> and processing; </w:t>
      </w:r>
      <w:r w:rsidRPr="005F1A55">
        <w:rPr>
          <w:rFonts w:eastAsia="Times New Roman" w:cstheme="minorHAnsi"/>
        </w:rPr>
        <w:t>working</w:t>
      </w:r>
      <w:r w:rsidRPr="005F1A55">
        <w:rPr>
          <w:rFonts w:eastAsia="MS Mincho" w:cstheme="minorHAnsi"/>
        </w:rPr>
        <w:t xml:space="preserve"> with the ASGM miners at community level, which will be accomplished through stakeholder engagement and mobilization, recognizing that artisanal miners are not homogenous and tend to operate in areas of high informality; designate special areas for processing, washing of gold ores (Panning) and heating of the amalgam; Involving stakeholders in the implementation and continuing development of the national action plan; </w:t>
      </w:r>
      <w:r w:rsidRPr="005F1A55">
        <w:rPr>
          <w:rFonts w:eastAsia="Times New Roman" w:cstheme="minorHAnsi"/>
        </w:rPr>
        <w:t xml:space="preserve">and more localized training of artisanal miners and stakeholders. </w:t>
      </w:r>
    </w:p>
    <w:p w14:paraId="3084F38D" w14:textId="77777777" w:rsidR="00D70D43" w:rsidRPr="005F1A55" w:rsidRDefault="00D70D43" w:rsidP="00D70D43">
      <w:pPr>
        <w:ind w:left="720"/>
        <w:contextualSpacing/>
        <w:rPr>
          <w:rFonts w:eastAsia="Times New Roman" w:cstheme="minorHAnsi"/>
        </w:rPr>
      </w:pPr>
    </w:p>
    <w:p w14:paraId="77802702"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Times New Roman" w:cstheme="minorHAnsi"/>
        </w:rPr>
      </w:pPr>
      <w:r w:rsidRPr="005F1A55">
        <w:rPr>
          <w:rFonts w:eastAsia="Times New Roman" w:cstheme="minorHAnsi"/>
        </w:rPr>
        <w:t>The component will support the development of</w:t>
      </w:r>
      <w:r w:rsidRPr="005F1A55">
        <w:rPr>
          <w:rFonts w:eastAsia="MS Mincho" w:cstheme="minorHAnsi"/>
        </w:rPr>
        <w:t xml:space="preserve"> a public health strategy on the exposure of artisanal and small-scale gold miners and their communities to mercury</w:t>
      </w:r>
      <w:r w:rsidRPr="005F1A55">
        <w:rPr>
          <w:rFonts w:eastAsia="Times New Roman" w:cstheme="minorHAnsi"/>
        </w:rPr>
        <w:t>.</w:t>
      </w:r>
      <w:r w:rsidRPr="005F1A55">
        <w:rPr>
          <w:rFonts w:eastAsia="MS Mincho" w:cstheme="minorHAnsi"/>
        </w:rPr>
        <w:t xml:space="preserve"> Such a strategy would include gathering of health data, training for health-care workers</w:t>
      </w:r>
      <w:r w:rsidRPr="005F1A55">
        <w:rPr>
          <w:rFonts w:eastAsia="Times New Roman" w:cstheme="minorHAnsi"/>
        </w:rPr>
        <w:t>,</w:t>
      </w:r>
      <w:r w:rsidRPr="005F1A55">
        <w:rPr>
          <w:rFonts w:eastAsia="MS Mincho" w:cstheme="minorHAnsi"/>
        </w:rPr>
        <w:t xml:space="preserve"> and awareness-raising through health facilities. </w:t>
      </w:r>
    </w:p>
    <w:p w14:paraId="0A65802D" w14:textId="77777777" w:rsidR="00D70D43" w:rsidRPr="005F1A55" w:rsidRDefault="00D70D43" w:rsidP="00D70D43">
      <w:pPr>
        <w:ind w:left="3"/>
        <w:contextualSpacing/>
        <w:jc w:val="both"/>
        <w:rPr>
          <w:rFonts w:eastAsia="Times New Roman" w:cstheme="minorHAnsi"/>
          <w:b/>
        </w:rPr>
      </w:pPr>
    </w:p>
    <w:p w14:paraId="72F2E8FB"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MS Mincho" w:cstheme="minorHAnsi"/>
        </w:rPr>
        <w:t xml:space="preserve">Assistance </w:t>
      </w:r>
      <w:r w:rsidRPr="005F1A55">
        <w:rPr>
          <w:rFonts w:eastAsia="Times New Roman" w:cstheme="minorHAnsi"/>
        </w:rPr>
        <w:t>will</w:t>
      </w:r>
      <w:r w:rsidRPr="005F1A55">
        <w:rPr>
          <w:rFonts w:eastAsia="MS Mincho" w:cstheme="minorHAnsi"/>
        </w:rPr>
        <w:t xml:space="preserve"> be provided to prevent the exposure of vulnerable populations, particularly children and women of child-bearing age, especially pregnant women, from mercury toxicity resulting from </w:t>
      </w:r>
      <w:r w:rsidRPr="005F1A55">
        <w:rPr>
          <w:rFonts w:eastAsia="Times New Roman" w:cstheme="minorHAnsi"/>
        </w:rPr>
        <w:t>ASGM,</w:t>
      </w:r>
      <w:r w:rsidRPr="005F1A55">
        <w:rPr>
          <w:rFonts w:eastAsia="MS Mincho" w:cstheme="minorHAnsi"/>
        </w:rPr>
        <w:t xml:space="preserve"> and dissemination of information to </w:t>
      </w:r>
      <w:r w:rsidRPr="005F1A55">
        <w:rPr>
          <w:rFonts w:eastAsia="Times New Roman" w:cstheme="minorHAnsi"/>
        </w:rPr>
        <w:t>ASG</w:t>
      </w:r>
      <w:r w:rsidRPr="005F1A55">
        <w:rPr>
          <w:rFonts w:eastAsia="MS Mincho" w:cstheme="minorHAnsi"/>
        </w:rPr>
        <w:t xml:space="preserve"> miners and affected communities, in support </w:t>
      </w:r>
      <w:r w:rsidRPr="005F1A55">
        <w:rPr>
          <w:rFonts w:eastAsia="Times New Roman" w:cstheme="minorHAnsi"/>
        </w:rPr>
        <w:t>of</w:t>
      </w:r>
      <w:r w:rsidRPr="005F1A55">
        <w:rPr>
          <w:rFonts w:eastAsia="MS Mincho" w:cstheme="minorHAnsi"/>
        </w:rPr>
        <w:t xml:space="preserve"> implementation of the National Action Plan.</w:t>
      </w:r>
    </w:p>
    <w:p w14:paraId="6BE0CC95" w14:textId="77777777" w:rsidR="00D70D43" w:rsidRDefault="00D70D43" w:rsidP="00D70D43">
      <w:pPr>
        <w:pStyle w:val="ListParagraph"/>
        <w:rPr>
          <w:rFonts w:eastAsia="Times New Roman" w:cstheme="minorHAnsi"/>
          <w:i/>
          <w:u w:val="single"/>
        </w:rPr>
      </w:pPr>
    </w:p>
    <w:p w14:paraId="2A156372" w14:textId="77777777" w:rsidR="00D70D43" w:rsidRDefault="00D70D43" w:rsidP="00D70D43">
      <w:pPr>
        <w:ind w:left="3"/>
        <w:contextualSpacing/>
        <w:jc w:val="both"/>
        <w:rPr>
          <w:rFonts w:eastAsia="MS Mincho" w:cstheme="minorHAnsi"/>
        </w:rPr>
      </w:pPr>
      <w:r w:rsidRPr="005F1A55">
        <w:rPr>
          <w:rFonts w:eastAsia="Times New Roman" w:cstheme="minorHAnsi"/>
          <w:i/>
          <w:u w:val="single"/>
        </w:rPr>
        <w:t>Expected outputs of Component 2</w:t>
      </w:r>
      <w:r w:rsidRPr="005F1A55">
        <w:rPr>
          <w:rFonts w:eastAsia="Times New Roman" w:cstheme="minorHAnsi"/>
          <w:bCs/>
          <w:i/>
          <w:u w:val="single"/>
        </w:rPr>
        <w:t>:</w:t>
      </w:r>
    </w:p>
    <w:p w14:paraId="1194D4DF" w14:textId="77777777" w:rsidR="00D70D43" w:rsidRDefault="00D70D43" w:rsidP="00D70D43">
      <w:pPr>
        <w:pStyle w:val="ListParagraph"/>
        <w:rPr>
          <w:rFonts w:eastAsia="Times New Roman" w:cstheme="minorHAnsi"/>
        </w:rPr>
      </w:pPr>
    </w:p>
    <w:p w14:paraId="15B73B4B"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Strengthened policy and regulations for management of mercury developed.</w:t>
      </w:r>
    </w:p>
    <w:p w14:paraId="316A5C47"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Guidance on formalization of ASGM developed.</w:t>
      </w:r>
    </w:p>
    <w:p w14:paraId="5862D3D4"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bCs/>
        </w:rPr>
        <w:t>Strategy to promote reduction of emissions and exposure to mercury in artisanal and small-scale gold mining and processing prepared.</w:t>
      </w:r>
    </w:p>
    <w:p w14:paraId="62654328"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bCs/>
        </w:rPr>
        <w:t>Public health strategy prepared.</w:t>
      </w:r>
    </w:p>
    <w:p w14:paraId="61CE38E2" w14:textId="77777777" w:rsidR="00D70D43" w:rsidRDefault="00D70D43" w:rsidP="002E38A2">
      <w:pPr>
        <w:widowControl w:val="0"/>
        <w:numPr>
          <w:ilvl w:val="1"/>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t>Trainings for health-care workers and awareness-raising through health facilities conducted.</w:t>
      </w:r>
    </w:p>
    <w:p w14:paraId="3F6930C2" w14:textId="77777777" w:rsidR="00D70D43" w:rsidRDefault="00D70D43" w:rsidP="00D70D43">
      <w:pPr>
        <w:ind w:left="3"/>
        <w:contextualSpacing/>
        <w:jc w:val="both"/>
        <w:rPr>
          <w:rFonts w:eastAsia="MS Mincho" w:cstheme="minorHAnsi"/>
        </w:rPr>
      </w:pPr>
    </w:p>
    <w:p w14:paraId="41806994"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MS Mincho" w:cstheme="minorHAnsi"/>
          <w:b/>
        </w:rPr>
        <w:t>Component 3: Demonstrating application of technological tools and economic approaches (US $ 3.99 million GEF)</w:t>
      </w:r>
      <w:r>
        <w:rPr>
          <w:rFonts w:eastAsia="MS Mincho" w:cstheme="minorHAnsi"/>
        </w:rPr>
        <w:t xml:space="preserve">. </w:t>
      </w:r>
      <w:r w:rsidRPr="005F1A55">
        <w:rPr>
          <w:rFonts w:eastAsia="MS Mincho" w:cstheme="minorHAnsi"/>
        </w:rPr>
        <w:t xml:space="preserve">This component will support the </w:t>
      </w:r>
      <w:r w:rsidRPr="005F1A55">
        <w:rPr>
          <w:rFonts w:eastAsia="Times New Roman" w:cstheme="minorHAnsi"/>
        </w:rPr>
        <w:t>efforts</w:t>
      </w:r>
      <w:r w:rsidRPr="005F1A55">
        <w:rPr>
          <w:rFonts w:eastAsia="MS Mincho" w:cstheme="minorHAnsi"/>
        </w:rPr>
        <w:t xml:space="preserve"> of the Government to formalize the ASGM sector</w:t>
      </w:r>
      <w:r w:rsidRPr="005F1A55">
        <w:rPr>
          <w:rFonts w:eastAsia="Times New Roman" w:cstheme="minorHAnsi"/>
        </w:rPr>
        <w:t>,</w:t>
      </w:r>
      <w:r w:rsidRPr="005F1A55">
        <w:rPr>
          <w:rFonts w:eastAsia="MS Mincho" w:cstheme="minorHAnsi"/>
        </w:rPr>
        <w:t xml:space="preserve"> which will create incentives for artisanal miners to access relevant knowledge, financing</w:t>
      </w:r>
      <w:r w:rsidRPr="005F1A55">
        <w:rPr>
          <w:rFonts w:eastAsia="Times New Roman" w:cstheme="minorHAnsi"/>
        </w:rPr>
        <w:t>,</w:t>
      </w:r>
      <w:r w:rsidRPr="005F1A55">
        <w:rPr>
          <w:rFonts w:eastAsia="MS Mincho" w:cstheme="minorHAnsi"/>
        </w:rPr>
        <w:t xml:space="preserve"> and institutional support in line with Government’s obligations under the Minamata Convention. </w:t>
      </w:r>
    </w:p>
    <w:p w14:paraId="765F2A34" w14:textId="77777777" w:rsidR="00D70D43" w:rsidRDefault="00D70D43" w:rsidP="00D70D43">
      <w:pPr>
        <w:pStyle w:val="ListParagraph"/>
        <w:rPr>
          <w:rFonts w:eastAsia="Times New Roman" w:cstheme="minorHAnsi"/>
        </w:rPr>
      </w:pPr>
    </w:p>
    <w:p w14:paraId="3BE30C1F" w14:textId="77777777" w:rsidR="00D70D43"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Times New Roman" w:cstheme="minorHAnsi"/>
        </w:rPr>
        <w:lastRenderedPageBreak/>
        <w:t>Project technical</w:t>
      </w:r>
      <w:r w:rsidRPr="005F1A55">
        <w:rPr>
          <w:rFonts w:eastAsia="MS Mincho" w:cstheme="minorHAnsi"/>
        </w:rPr>
        <w:t xml:space="preserve"> assistance will help improve working conditions for</w:t>
      </w:r>
      <w:r w:rsidRPr="005F1A55">
        <w:rPr>
          <w:rFonts w:eastAsia="Times New Roman" w:cstheme="minorHAnsi"/>
        </w:rPr>
        <w:t xml:space="preserve"> the</w:t>
      </w:r>
      <w:r w:rsidRPr="005F1A55">
        <w:rPr>
          <w:rFonts w:eastAsia="MS Mincho" w:cstheme="minorHAnsi"/>
        </w:rPr>
        <w:t xml:space="preserve"> local mining community by leveraging planned investment activities under the existing SMMRP-II Project to promote mercury abatement. </w:t>
      </w:r>
    </w:p>
    <w:p w14:paraId="1054C53A" w14:textId="77777777" w:rsidR="00D70D43" w:rsidRDefault="00D70D43" w:rsidP="00D70D43">
      <w:pPr>
        <w:pStyle w:val="ListParagraph"/>
        <w:rPr>
          <w:rFonts w:eastAsia="MS Mincho" w:cstheme="minorHAnsi"/>
        </w:rPr>
      </w:pPr>
    </w:p>
    <w:p w14:paraId="1F1EEBE2" w14:textId="77777777" w:rsidR="00D70D43" w:rsidRPr="005F1A55" w:rsidRDefault="00D70D43" w:rsidP="002E38A2">
      <w:pPr>
        <w:widowControl w:val="0"/>
        <w:numPr>
          <w:ilvl w:val="0"/>
          <w:numId w:val="10"/>
        </w:numPr>
        <w:autoSpaceDE w:val="0"/>
        <w:autoSpaceDN w:val="0"/>
        <w:adjustRightInd w:val="0"/>
        <w:spacing w:after="0" w:line="240" w:lineRule="auto"/>
        <w:contextualSpacing/>
        <w:jc w:val="both"/>
        <w:rPr>
          <w:rFonts w:eastAsia="MS Mincho" w:cstheme="minorHAnsi"/>
        </w:rPr>
      </w:pPr>
      <w:r w:rsidRPr="005F1A55">
        <w:rPr>
          <w:rFonts w:eastAsia="MS Mincho" w:cstheme="minorHAnsi"/>
        </w:rPr>
        <w:t>The objective of this component is to collaborate with Small Enterprise Development Corporation (SEDCO/SIDO) or local manufacturers to conduct researches on alternative technologies, prepare prototypes and manufacture/replicate low cost centralized gold extraction equipment to enable moving away from using mercury</w:t>
      </w:r>
      <w:r w:rsidRPr="005F1A55">
        <w:rPr>
          <w:rFonts w:eastAsia="Times New Roman" w:cstheme="minorHAnsi"/>
        </w:rPr>
        <w:t>, and towards adopting</w:t>
      </w:r>
      <w:r w:rsidRPr="005F1A55">
        <w:rPr>
          <w:rFonts w:eastAsia="MS Mincho" w:cstheme="minorHAnsi"/>
        </w:rPr>
        <w:t xml:space="preserve"> alternative mercury</w:t>
      </w:r>
      <w:r w:rsidRPr="005F1A55">
        <w:rPr>
          <w:rFonts w:eastAsia="Times New Roman" w:cstheme="minorHAnsi"/>
        </w:rPr>
        <w:t>-</w:t>
      </w:r>
      <w:r w:rsidRPr="005F1A55">
        <w:rPr>
          <w:rFonts w:eastAsia="MS Mincho" w:cstheme="minorHAnsi"/>
        </w:rPr>
        <w:t xml:space="preserve">free technologies </w:t>
      </w:r>
      <w:r w:rsidRPr="005F1A55">
        <w:rPr>
          <w:rFonts w:eastAsia="Times New Roman" w:cstheme="minorHAnsi"/>
        </w:rPr>
        <w:t>(e.g., vat leaching). Component activities are expected to</w:t>
      </w:r>
      <w:r w:rsidRPr="005F1A55">
        <w:rPr>
          <w:rFonts w:eastAsia="MS Mincho" w:cstheme="minorHAnsi"/>
        </w:rPr>
        <w:t xml:space="preserve"> greatly reduce the amount of mercury to be procured and used, and consequently reduce the amount of mercury emissions in the environment. This effort will complement the MIA initiative for Tanzania by providing policy makers with tools and guidance needed to design and implement strategies for risk reduction. </w:t>
      </w:r>
    </w:p>
    <w:p w14:paraId="004BFE38" w14:textId="77777777" w:rsidR="00D70D43" w:rsidRPr="005F1A55" w:rsidRDefault="00D70D43" w:rsidP="00D70D43">
      <w:pPr>
        <w:ind w:left="720"/>
        <w:contextualSpacing/>
        <w:rPr>
          <w:rFonts w:eastAsia="MS Mincho" w:cstheme="minorHAnsi"/>
        </w:rPr>
      </w:pPr>
    </w:p>
    <w:p w14:paraId="7E6457E6"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MS Mincho" w:cstheme="minorHAnsi"/>
        </w:rPr>
      </w:pPr>
      <w:r w:rsidRPr="005F1A55">
        <w:rPr>
          <w:rFonts w:eastAsia="MS Mincho" w:cstheme="minorHAnsi"/>
        </w:rPr>
        <w:t xml:space="preserve">The demonstrative investments will be selected and designed </w:t>
      </w:r>
      <w:r w:rsidRPr="005F1A55">
        <w:rPr>
          <w:rFonts w:eastAsia="Times New Roman" w:cstheme="minorHAnsi"/>
        </w:rPr>
        <w:t xml:space="preserve">based </w:t>
      </w:r>
      <w:r w:rsidRPr="005F1A55">
        <w:rPr>
          <w:rFonts w:eastAsia="MS Mincho" w:cstheme="minorHAnsi"/>
        </w:rPr>
        <w:t xml:space="preserve">on environmental health risks and cost effectiveness of interventions. The project will consider </w:t>
      </w:r>
      <w:r w:rsidRPr="005F1A55">
        <w:rPr>
          <w:rFonts w:eastAsia="Times New Roman" w:cstheme="minorHAnsi"/>
        </w:rPr>
        <w:t>opportunities</w:t>
      </w:r>
      <w:r w:rsidRPr="005F1A55">
        <w:rPr>
          <w:rFonts w:eastAsia="MS Mincho" w:cstheme="minorHAnsi"/>
        </w:rPr>
        <w:t xml:space="preserve"> for climate change</w:t>
      </w:r>
      <w:r w:rsidRPr="005F1A55">
        <w:rPr>
          <w:rFonts w:eastAsia="Times New Roman" w:cstheme="minorHAnsi"/>
        </w:rPr>
        <w:t xml:space="preserve"> adaptation and</w:t>
      </w:r>
      <w:r w:rsidRPr="005F1A55">
        <w:rPr>
          <w:rFonts w:eastAsia="MS Mincho" w:cstheme="minorHAnsi"/>
        </w:rPr>
        <w:t xml:space="preserve"> mitigation, especially use of cleaner technologies, including available non-mercury options, use of reclaimed lands, and mitigating effect of mining sectors on carbon sequestering ecosystems, such as forests. </w:t>
      </w:r>
      <w:proofErr w:type="gramStart"/>
      <w:r w:rsidRPr="005F1A55">
        <w:rPr>
          <w:rFonts w:eastAsia="MS Mincho" w:cstheme="minorHAnsi"/>
        </w:rPr>
        <w:t>In regards to</w:t>
      </w:r>
      <w:proofErr w:type="gramEnd"/>
      <w:r w:rsidRPr="005F1A55">
        <w:rPr>
          <w:rFonts w:eastAsia="MS Mincho" w:cstheme="minorHAnsi"/>
        </w:rPr>
        <w:t xml:space="preserve"> forests/afforestation measures, ASGM will be sensitized to plant trees to mined out areas through progressive rehabilitation as well as total rehabilitation during mine closure. Furthermore, the project will finance a pilot program to rehabilitate selected abandoned mining sites by ASGM </w:t>
      </w:r>
      <w:proofErr w:type="gramStart"/>
      <w:r w:rsidRPr="005F1A55">
        <w:rPr>
          <w:rFonts w:eastAsia="MS Mincho" w:cstheme="minorHAnsi"/>
        </w:rPr>
        <w:t>so as to</w:t>
      </w:r>
      <w:proofErr w:type="gramEnd"/>
      <w:r w:rsidRPr="005F1A55">
        <w:rPr>
          <w:rFonts w:eastAsia="MS Mincho" w:cstheme="minorHAnsi"/>
        </w:rPr>
        <w:t xml:space="preserve"> address the past legacies and improve environmental conditions of these areas including planting trees. This can be done through use of available technology such as bioremediation or chemo -remediation of the contaminated soil, backfilling the dug shafts with the bio -remediated soil and planting of indigenous trees.</w:t>
      </w:r>
    </w:p>
    <w:p w14:paraId="6A8CFD2D" w14:textId="77777777" w:rsidR="00D70D43" w:rsidRPr="005F1A55" w:rsidRDefault="00D70D43" w:rsidP="00D70D43">
      <w:pPr>
        <w:ind w:left="720"/>
        <w:contextualSpacing/>
        <w:rPr>
          <w:rFonts w:eastAsia="MS Mincho" w:cstheme="minorHAnsi"/>
        </w:rPr>
      </w:pPr>
    </w:p>
    <w:p w14:paraId="3DD9A1DB"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Calibri" w:cstheme="minorHAnsi"/>
        </w:rPr>
      </w:pPr>
      <w:r w:rsidRPr="005F1A55">
        <w:rPr>
          <w:rFonts w:eastAsia="Times New Roman" w:cstheme="minorHAnsi"/>
        </w:rPr>
        <w:t>Environmental</w:t>
      </w:r>
      <w:r w:rsidRPr="005F1A55">
        <w:rPr>
          <w:rFonts w:eastAsia="MS Mincho" w:cstheme="minorHAnsi"/>
        </w:rPr>
        <w:t xml:space="preserve"> improvements will act as demonstration pilots for the </w:t>
      </w:r>
      <w:r w:rsidRPr="005F1A55">
        <w:rPr>
          <w:rFonts w:eastAsia="Times New Roman" w:cstheme="minorHAnsi"/>
        </w:rPr>
        <w:t>PMLs</w:t>
      </w:r>
      <w:r w:rsidRPr="005F1A55">
        <w:rPr>
          <w:rFonts w:eastAsia="MS Mincho" w:cstheme="minorHAnsi"/>
        </w:rPr>
        <w:t xml:space="preserve"> who are mandated to rehabilitate their mines based on the Mine </w:t>
      </w:r>
      <w:r w:rsidRPr="005F1A55">
        <w:rPr>
          <w:rFonts w:eastAsia="Times New Roman" w:cstheme="minorHAnsi"/>
        </w:rPr>
        <w:t xml:space="preserve">Closure Policy </w:t>
      </w:r>
      <w:r w:rsidRPr="005F1A55">
        <w:rPr>
          <w:rFonts w:eastAsia="MS Mincho" w:cstheme="minorHAnsi"/>
        </w:rPr>
        <w:t>in the Mining Act</w:t>
      </w:r>
      <w:r w:rsidRPr="005F1A55">
        <w:rPr>
          <w:rFonts w:eastAsia="Times New Roman" w:cstheme="minorHAnsi"/>
        </w:rPr>
        <w:t xml:space="preserve"> and any guidelines that will come into force in relation to the implementation of the Minamata Convention. </w:t>
      </w:r>
    </w:p>
    <w:p w14:paraId="612327B9" w14:textId="77777777" w:rsidR="00D70D43" w:rsidRPr="005F1A55" w:rsidRDefault="00D70D43" w:rsidP="00D70D43">
      <w:pPr>
        <w:ind w:left="720"/>
        <w:contextualSpacing/>
        <w:rPr>
          <w:rFonts w:eastAsia="MS Mincho" w:cstheme="minorHAnsi"/>
          <w:lang w:val="en-GB"/>
        </w:rPr>
      </w:pPr>
    </w:p>
    <w:p w14:paraId="1CB7C3E5"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MS Mincho" w:cstheme="minorHAnsi"/>
        </w:rPr>
      </w:pPr>
      <w:r w:rsidRPr="005F1A55">
        <w:rPr>
          <w:rFonts w:eastAsia="MS Mincho" w:cstheme="minorHAnsi"/>
          <w:lang w:val="en-GB"/>
        </w:rPr>
        <w:t>The demonstration investments will be linked to</w:t>
      </w:r>
      <w:r w:rsidRPr="005F1A55">
        <w:rPr>
          <w:rFonts w:eastAsia="MS Mincho" w:cstheme="minorHAnsi"/>
        </w:rPr>
        <w:t xml:space="preserve"> the Resilient Natural Resources Management for Tourism and Growth Project (REGROW) and aim to enhance rehabilitation of degraded land and promote interventions, which sustain biodiversity. </w:t>
      </w:r>
    </w:p>
    <w:p w14:paraId="50E2D9F1" w14:textId="77777777" w:rsidR="00D70D43" w:rsidRPr="005F1A55" w:rsidRDefault="00D70D43" w:rsidP="00D70D43">
      <w:pPr>
        <w:ind w:left="720"/>
        <w:contextualSpacing/>
        <w:rPr>
          <w:rFonts w:eastAsia="MS Mincho" w:cstheme="minorHAnsi"/>
        </w:rPr>
      </w:pPr>
    </w:p>
    <w:p w14:paraId="29CFE3C5" w14:textId="77777777" w:rsidR="00D70D43" w:rsidRPr="005F1A55" w:rsidRDefault="00D70D43" w:rsidP="002E38A2">
      <w:pPr>
        <w:widowControl w:val="0"/>
        <w:numPr>
          <w:ilvl w:val="0"/>
          <w:numId w:val="10"/>
        </w:numPr>
        <w:autoSpaceDE w:val="0"/>
        <w:autoSpaceDN w:val="0"/>
        <w:adjustRightInd w:val="0"/>
        <w:spacing w:after="0" w:line="240" w:lineRule="auto"/>
        <w:jc w:val="both"/>
        <w:rPr>
          <w:rFonts w:eastAsia="MS Mincho" w:cstheme="minorHAnsi"/>
        </w:rPr>
      </w:pPr>
      <w:r w:rsidRPr="005F1A55">
        <w:rPr>
          <w:rFonts w:eastAsia="MS Mincho" w:cstheme="minorHAnsi"/>
        </w:rPr>
        <w:t xml:space="preserve">The project will benefit from the natural resources-based livelihoods support from REGROW, such as participatory forest management and conservation of landscapes.  It is envisaged that apart from mitigating environmental health risks from emissions, mercury abatement will reduce use of trees for fuel wood, and consequently the rate of deforestation land degradation. </w:t>
      </w:r>
    </w:p>
    <w:p w14:paraId="2761C1A7" w14:textId="77777777" w:rsidR="00D70D43" w:rsidRPr="005F1A55" w:rsidRDefault="00D70D43" w:rsidP="00D70D43">
      <w:pPr>
        <w:ind w:left="720"/>
        <w:contextualSpacing/>
        <w:rPr>
          <w:rFonts w:eastAsia="Times New Roman" w:cstheme="minorHAnsi"/>
          <w:b/>
        </w:rPr>
      </w:pPr>
    </w:p>
    <w:p w14:paraId="6C4EE946" w14:textId="77777777" w:rsidR="00D70D43" w:rsidRDefault="00D70D43" w:rsidP="00D70D43">
      <w:pPr>
        <w:ind w:left="3"/>
        <w:jc w:val="both"/>
        <w:rPr>
          <w:rFonts w:eastAsia="Times New Roman" w:cstheme="minorHAnsi"/>
        </w:rPr>
      </w:pPr>
      <w:r w:rsidRPr="005F1A55">
        <w:rPr>
          <w:rFonts w:eastAsia="Times New Roman" w:cstheme="minorHAnsi"/>
          <w:i/>
          <w:u w:val="single"/>
        </w:rPr>
        <w:t>Expected outputs of Component 3</w:t>
      </w:r>
      <w:r w:rsidRPr="005F1A55">
        <w:rPr>
          <w:rFonts w:eastAsia="Times New Roman" w:cstheme="minorHAnsi"/>
          <w:bCs/>
          <w:i/>
          <w:u w:val="single"/>
        </w:rPr>
        <w:t>:</w:t>
      </w:r>
    </w:p>
    <w:p w14:paraId="2A5818D1" w14:textId="77777777" w:rsidR="00D70D43" w:rsidRDefault="00D70D43" w:rsidP="00D70D43">
      <w:pPr>
        <w:pStyle w:val="ListParagraph"/>
        <w:rPr>
          <w:rFonts w:eastAsia="Times New Roman" w:cstheme="minorHAnsi"/>
        </w:rPr>
      </w:pPr>
    </w:p>
    <w:p w14:paraId="10BCE378"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Mercury abatement techniques promoted.</w:t>
      </w:r>
    </w:p>
    <w:p w14:paraId="396F2865"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 xml:space="preserve">Low cost centralized gold extraction equipment manufactured/replicated. </w:t>
      </w:r>
    </w:p>
    <w:p w14:paraId="786D6E33"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Amount of mercury procured, used, and emissions in the environment reduced.</w:t>
      </w:r>
    </w:p>
    <w:p w14:paraId="19298D9F"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lastRenderedPageBreak/>
        <w:t>Tools and guidance provided to policy makers to design and implement strategies for mercury related risk reduction.</w:t>
      </w:r>
    </w:p>
    <w:p w14:paraId="6A2AC03C"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Alternative technologies supporting phasing down and phasing out of mercury usage deployed.</w:t>
      </w:r>
    </w:p>
    <w:p w14:paraId="051DB5D6" w14:textId="77777777" w:rsidR="00D70D43" w:rsidRDefault="00D70D43" w:rsidP="002E38A2">
      <w:pPr>
        <w:widowControl w:val="0"/>
        <w:numPr>
          <w:ilvl w:val="1"/>
          <w:numId w:val="10"/>
        </w:numPr>
        <w:autoSpaceDE w:val="0"/>
        <w:autoSpaceDN w:val="0"/>
        <w:adjustRightInd w:val="0"/>
        <w:spacing w:after="0" w:line="240" w:lineRule="auto"/>
        <w:jc w:val="both"/>
        <w:rPr>
          <w:rFonts w:eastAsia="Times New Roman" w:cstheme="minorHAnsi"/>
        </w:rPr>
      </w:pPr>
      <w:r w:rsidRPr="005F1A55">
        <w:rPr>
          <w:rFonts w:eastAsia="Times New Roman" w:cstheme="minorHAnsi"/>
        </w:rPr>
        <w:t xml:space="preserve">Awareness to PML owners </w:t>
      </w:r>
      <w:proofErr w:type="gramStart"/>
      <w:r w:rsidRPr="005F1A55">
        <w:rPr>
          <w:rFonts w:eastAsia="Times New Roman" w:cstheme="minorHAnsi"/>
        </w:rPr>
        <w:t>on  land</w:t>
      </w:r>
      <w:proofErr w:type="gramEnd"/>
      <w:r w:rsidRPr="005F1A55">
        <w:rPr>
          <w:rFonts w:eastAsia="Times New Roman" w:cstheme="minorHAnsi"/>
        </w:rPr>
        <w:t xml:space="preserve"> rehabilitation increased.</w:t>
      </w:r>
    </w:p>
    <w:p w14:paraId="5FD585C4" w14:textId="77777777" w:rsidR="00D70D43" w:rsidRDefault="00D70D43" w:rsidP="00D70D43">
      <w:pPr>
        <w:ind w:left="3"/>
        <w:jc w:val="both"/>
        <w:rPr>
          <w:rFonts w:eastAsia="Times New Roman" w:cstheme="minorHAnsi"/>
        </w:rPr>
      </w:pPr>
    </w:p>
    <w:p w14:paraId="1D79A4CB"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AB65A8">
        <w:rPr>
          <w:rFonts w:eastAsia="MS Mincho" w:cstheme="minorHAnsi"/>
          <w:b/>
        </w:rPr>
        <w:t>Component 4</w:t>
      </w:r>
      <w:r w:rsidRPr="00AB65A8">
        <w:rPr>
          <w:rFonts w:eastAsia="Times New Roman" w:cstheme="minorHAnsi"/>
          <w:b/>
        </w:rPr>
        <w:t>:</w:t>
      </w:r>
      <w:r w:rsidRPr="00AB65A8">
        <w:rPr>
          <w:rFonts w:eastAsia="MS Mincho" w:cstheme="minorHAnsi"/>
          <w:b/>
        </w:rPr>
        <w:t xml:space="preserve"> Project </w:t>
      </w:r>
      <w:r w:rsidRPr="00AB65A8">
        <w:rPr>
          <w:rFonts w:eastAsia="Times New Roman" w:cstheme="minorHAnsi"/>
          <w:b/>
        </w:rPr>
        <w:t>Coordination and Management (GEF US$ 349,498).</w:t>
      </w:r>
      <w:r w:rsidRPr="00AB65A8">
        <w:rPr>
          <w:rFonts w:eastAsia="Times New Roman" w:cstheme="minorHAnsi"/>
        </w:rPr>
        <w:t xml:space="preserve"> </w:t>
      </w:r>
      <w:r w:rsidRPr="00AB65A8">
        <w:rPr>
          <w:rFonts w:eastAsia="MS Mincho" w:cstheme="minorHAnsi"/>
        </w:rPr>
        <w:t>This component focuses on project coordination at national, district</w:t>
      </w:r>
      <w:r w:rsidRPr="00AB65A8">
        <w:rPr>
          <w:rFonts w:eastAsia="Times New Roman" w:cstheme="minorHAnsi"/>
        </w:rPr>
        <w:t>,</w:t>
      </w:r>
      <w:r w:rsidRPr="00AB65A8">
        <w:rPr>
          <w:rFonts w:eastAsia="MS Mincho" w:cstheme="minorHAnsi"/>
        </w:rPr>
        <w:t xml:space="preserve"> and community levels. It will support implementing entities with day-to-day project implementation and provision of basic project management support</w:t>
      </w:r>
      <w:r w:rsidRPr="00AB65A8">
        <w:rPr>
          <w:rFonts w:eastAsia="Times New Roman" w:cstheme="minorHAnsi"/>
        </w:rPr>
        <w:t>,</w:t>
      </w:r>
      <w:r w:rsidRPr="00AB65A8">
        <w:rPr>
          <w:rFonts w:eastAsia="MS Mincho" w:cstheme="minorHAnsi"/>
        </w:rPr>
        <w:t xml:space="preserve"> including procurement, financial management, environmental management, </w:t>
      </w:r>
      <w:r w:rsidRPr="00AB65A8">
        <w:rPr>
          <w:rFonts w:eastAsia="Times New Roman" w:cstheme="minorHAnsi"/>
        </w:rPr>
        <w:t>and</w:t>
      </w:r>
      <w:r w:rsidRPr="00AB65A8">
        <w:rPr>
          <w:rFonts w:eastAsia="MS Mincho" w:cstheme="minorHAnsi"/>
        </w:rPr>
        <w:t xml:space="preserve"> monitoring and evaluation.</w:t>
      </w:r>
      <w:bookmarkStart w:id="18" w:name="_Hlk531104795"/>
      <w:bookmarkEnd w:id="17"/>
    </w:p>
    <w:p w14:paraId="5EB3CB7F" w14:textId="77777777" w:rsidR="00D70D43" w:rsidRDefault="00D70D43" w:rsidP="00D70D43">
      <w:pPr>
        <w:ind w:left="3"/>
        <w:jc w:val="both"/>
        <w:rPr>
          <w:rFonts w:eastAsia="Times New Roman" w:cstheme="minorHAnsi"/>
        </w:rPr>
      </w:pPr>
    </w:p>
    <w:p w14:paraId="41E25E34" w14:textId="5628BEB9"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664D52">
        <w:rPr>
          <w:rFonts w:eastAsia="Times New Roman" w:cstheme="minorHAnsi"/>
          <w:b/>
          <w:bCs/>
        </w:rPr>
        <w:t xml:space="preserve">Project Beneficiaries: </w:t>
      </w:r>
      <w:r w:rsidRPr="00664D52">
        <w:rPr>
          <w:rFonts w:eastAsia="Times New Roman" w:cstheme="minorHAnsi"/>
          <w:bCs/>
        </w:rPr>
        <w:t xml:space="preserve">Direct beneficiaries of this project will include artisanal and small-scale gold miners, service providers in mining sites and the surrounding communities in </w:t>
      </w:r>
      <w:proofErr w:type="spellStart"/>
      <w:r w:rsidRPr="00664D52">
        <w:rPr>
          <w:rFonts w:eastAsia="Times New Roman" w:cstheme="minorHAnsi"/>
          <w:bCs/>
        </w:rPr>
        <w:t>Geita</w:t>
      </w:r>
      <w:proofErr w:type="spellEnd"/>
      <w:r w:rsidRPr="00664D52">
        <w:rPr>
          <w:rFonts w:eastAsia="Times New Roman" w:cstheme="minorHAnsi"/>
          <w:bCs/>
        </w:rPr>
        <w:t xml:space="preserve">, Mwanza, </w:t>
      </w:r>
      <w:proofErr w:type="spellStart"/>
      <w:r w:rsidRPr="00664D52">
        <w:rPr>
          <w:rFonts w:eastAsia="Times New Roman" w:cstheme="minorHAnsi"/>
          <w:bCs/>
        </w:rPr>
        <w:t>Shinyanga</w:t>
      </w:r>
      <w:proofErr w:type="spellEnd"/>
      <w:r w:rsidRPr="00664D52">
        <w:rPr>
          <w:rFonts w:eastAsia="Times New Roman" w:cstheme="minorHAnsi"/>
          <w:bCs/>
        </w:rPr>
        <w:t xml:space="preserve">, Mara, </w:t>
      </w:r>
      <w:proofErr w:type="spellStart"/>
      <w:r w:rsidRPr="00664D52">
        <w:rPr>
          <w:rFonts w:eastAsia="Times New Roman" w:cstheme="minorHAnsi"/>
          <w:bCs/>
        </w:rPr>
        <w:t>Singida</w:t>
      </w:r>
      <w:proofErr w:type="spellEnd"/>
      <w:r w:rsidRPr="00664D52">
        <w:rPr>
          <w:rFonts w:eastAsia="Times New Roman" w:cstheme="minorHAnsi"/>
          <w:bCs/>
        </w:rPr>
        <w:t>, Mbeya, and Songwe Regions. These artisanal and small-scale will have improved health conditions, and they will acquire safe and clean technologies. Indirect beneficiaries of this project will include the government, regional and the global communit</w:t>
      </w:r>
      <w:r w:rsidR="00EF1A7B">
        <w:rPr>
          <w:rFonts w:eastAsia="Times New Roman" w:cstheme="minorHAnsi"/>
          <w:bCs/>
        </w:rPr>
        <w:t>ies</w:t>
      </w:r>
      <w:r w:rsidRPr="00664D52">
        <w:rPr>
          <w:rFonts w:eastAsia="Times New Roman" w:cstheme="minorHAnsi"/>
          <w:bCs/>
        </w:rPr>
        <w:t>.  Sound chemicals management at the national level, as underpinned regional and international agreements, brings many global economic, social and environmental benefits as reflected in GEF strategic objective on Chemicals.</w:t>
      </w:r>
    </w:p>
    <w:p w14:paraId="2444C569" w14:textId="77777777" w:rsidR="00D70D43" w:rsidRDefault="00D70D43" w:rsidP="00D70D43">
      <w:pPr>
        <w:pStyle w:val="ListParagraph"/>
        <w:rPr>
          <w:rFonts w:eastAsia="Times New Roman" w:cstheme="minorHAnsi"/>
          <w:b/>
          <w:bCs/>
        </w:rPr>
      </w:pPr>
    </w:p>
    <w:p w14:paraId="7D5622C9"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664D52">
        <w:rPr>
          <w:rFonts w:eastAsia="Times New Roman" w:cstheme="minorHAnsi"/>
          <w:b/>
          <w:bCs/>
        </w:rPr>
        <w:t xml:space="preserve">Results Chain: </w:t>
      </w:r>
      <w:r w:rsidRPr="00664D52">
        <w:rPr>
          <w:rFonts w:eastAsia="Times New Roman" w:cstheme="minorHAnsi"/>
          <w:bCs/>
        </w:rPr>
        <w:t>Artisanal and small-scale mining is very much embedded in people livelihood in many parts of the country.  In contrast, however, this activity has contributed significantly on the serious environmental pollution as a result of mercury use. Apart from ensuring that these miners operate in much safer environment, the technical support and formalization of the artisanal and small-scale mining will help in improving people’s livelihood who would otherwise continue living in poverty, using unsafe practices, and at the same time causing widespread environmental degradation. In addition, this project will create conditions for artisanal and small- scale goldminers to increase their productivity while at the same time ensure social protection and fair working conditions. Likewise, the improved mining practices will create other opportunities of local economies, thus promote development through large section of a population in the country.  In other words, the project will create job opportunities, and community development in mining sites through increased trade and subsidiary businesses.</w:t>
      </w:r>
      <w:bookmarkEnd w:id="18"/>
    </w:p>
    <w:p w14:paraId="6C816A75" w14:textId="77777777" w:rsidR="00D70D43" w:rsidRDefault="00D70D43" w:rsidP="00D70D43">
      <w:pPr>
        <w:pStyle w:val="ListParagraph"/>
        <w:rPr>
          <w:rFonts w:eastAsia="Times New Roman" w:cstheme="minorHAnsi"/>
          <w:b/>
        </w:rPr>
      </w:pPr>
    </w:p>
    <w:p w14:paraId="3BDE0B02" w14:textId="77777777" w:rsidR="00D70D43" w:rsidRPr="001C6415"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AD1B2E">
        <w:rPr>
          <w:rFonts w:eastAsia="Times New Roman" w:cstheme="minorHAnsi"/>
          <w:b/>
        </w:rPr>
        <w:t>Rationale for Bank Involvement and Role of Partners:</w:t>
      </w:r>
      <w:r w:rsidRPr="00AD1B2E">
        <w:rPr>
          <w:rFonts w:eastAsia="Times New Roman" w:cstheme="minorHAnsi"/>
          <w:bCs/>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505912FC" w14:textId="77777777" w:rsidR="00D70D43" w:rsidRDefault="00D70D43" w:rsidP="00D70D43">
      <w:pPr>
        <w:pStyle w:val="ListParagraph"/>
        <w:rPr>
          <w:rFonts w:eastAsia="Times New Roman" w:cstheme="minorHAnsi"/>
        </w:rPr>
      </w:pPr>
    </w:p>
    <w:p w14:paraId="043A1D6D" w14:textId="0107809D" w:rsidR="00D70D43" w:rsidRPr="001C6415" w:rsidRDefault="001A2D42" w:rsidP="002E38A2">
      <w:pPr>
        <w:numPr>
          <w:ilvl w:val="0"/>
          <w:numId w:val="10"/>
        </w:numPr>
        <w:jc w:val="both"/>
        <w:rPr>
          <w:rFonts w:ascii="Calibri" w:eastAsia="Times New Roman" w:hAnsi="Calibri" w:cs="Calibri"/>
        </w:rPr>
      </w:pPr>
      <w:r w:rsidRPr="001445F8">
        <w:rPr>
          <w:rFonts w:eastAsia="Times New Roman" w:cstheme="minorHAnsi"/>
          <w:b/>
        </w:rPr>
        <w:t>Incremental</w:t>
      </w:r>
      <w:r>
        <w:rPr>
          <w:rFonts w:eastAsia="Times New Roman" w:cstheme="minorHAnsi"/>
          <w:b/>
        </w:rPr>
        <w:t xml:space="preserve"> Re</w:t>
      </w:r>
      <w:r w:rsidRPr="001445F8">
        <w:rPr>
          <w:rFonts w:eastAsia="Times New Roman" w:cstheme="minorHAnsi"/>
          <w:b/>
        </w:rPr>
        <w:t>asoning and co-financing</w:t>
      </w:r>
      <w:r w:rsidR="002A3A54">
        <w:rPr>
          <w:rFonts w:eastAsia="Times New Roman" w:cstheme="minorHAnsi"/>
          <w:b/>
        </w:rPr>
        <w:t>:</w:t>
      </w:r>
      <w:r w:rsidR="00D70D43">
        <w:rPr>
          <w:rFonts w:ascii="Calibri" w:eastAsia="Times New Roman" w:hAnsi="Calibri" w:cs="Calibri"/>
          <w:bCs/>
        </w:rPr>
        <w:t xml:space="preserve">  </w:t>
      </w:r>
      <w:r w:rsidR="00D70D43" w:rsidRPr="004B109C">
        <w:rPr>
          <w:rFonts w:cstheme="minorHAnsi"/>
          <w:bCs/>
        </w:rPr>
        <w:t xml:space="preserve">The project will provide incremental funding across the suite of project interventions financed by IDA in the </w:t>
      </w:r>
      <w:r w:rsidR="00D70D43">
        <w:rPr>
          <w:rFonts w:cstheme="minorHAnsi"/>
          <w:bCs/>
        </w:rPr>
        <w:t>natural resource management</w:t>
      </w:r>
      <w:r w:rsidR="00D70D43" w:rsidRPr="004B109C">
        <w:rPr>
          <w:rFonts w:cstheme="minorHAnsi"/>
          <w:bCs/>
        </w:rPr>
        <w:t xml:space="preserve"> and mining sectors that focus on supporting improved capacity for effective pollution management. The GEF funding will be used to improve and consolidate the enabling environment necessary for technical assistance to support institutional strengthening and capacity building as well as knowledge sharing, policy dialogue, and </w:t>
      </w:r>
      <w:r w:rsidR="00D70D43" w:rsidRPr="004B109C">
        <w:rPr>
          <w:rFonts w:cstheme="minorHAnsi"/>
          <w:bCs/>
        </w:rPr>
        <w:lastRenderedPageBreak/>
        <w:t>regulatory enhancement to generate greater awareness of the impacts, including the health impacts related to the release mercury. The co-financing from the WB through IDA funding, as well as contributions from participating countries will focus on investment to demonstrate application of technological tools and economic approaches for reduced environmental health risks associated with these harmful chemicals and wastes.</w:t>
      </w:r>
    </w:p>
    <w:p w14:paraId="1DD98D26" w14:textId="77777777" w:rsidR="00D70D43" w:rsidRDefault="00D70D43" w:rsidP="00D70D43">
      <w:pPr>
        <w:jc w:val="both"/>
        <w:rPr>
          <w:rFonts w:eastAsia="Times New Roman" w:cstheme="minorHAnsi"/>
        </w:rPr>
      </w:pPr>
      <w:r w:rsidRPr="00993CA2">
        <w:rPr>
          <w:rFonts w:eastAsia="Times New Roman" w:cstheme="minorHAnsi"/>
          <w:b/>
        </w:rPr>
        <w:t>F. Lessons Learned and Reflected in the Project Design</w:t>
      </w:r>
    </w:p>
    <w:p w14:paraId="6DF76771" w14:textId="094E96E3"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93CA2">
        <w:rPr>
          <w:rFonts w:eastAsia="Times New Roman" w:cstheme="minorHAnsi"/>
        </w:rPr>
        <w:t>This project draws lessons from previous project implemented under GEF/UNIDO that was implemented between 2003 and 2006 regarding mercury abatement in ASGM. This project recognized the risks associated with mercury exposure to artisanal and small-scale gold miners. The project emphasized use of retorts in gold extraction while burning the amalgam. The project scope covered only Lake Victoria zone while ASGM activities are scattered all over the country.  This project will build on the success of the previous project and broaden the scope to cover at least seven regions with high concentration of ASGM activities. The project will also compliment the ongoing initiatives through SMMRP-II and support the review of a National Action Plan (NAP) for ASGM in Tanzania.</w:t>
      </w:r>
    </w:p>
    <w:p w14:paraId="3E287C72" w14:textId="77777777" w:rsidR="00D70D43" w:rsidRDefault="00D70D43" w:rsidP="00D70D43">
      <w:pPr>
        <w:ind w:left="3"/>
        <w:jc w:val="both"/>
        <w:rPr>
          <w:rFonts w:eastAsia="Times New Roman" w:cstheme="minorHAnsi"/>
        </w:rPr>
      </w:pPr>
    </w:p>
    <w:p w14:paraId="323AFEA0"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10D33">
        <w:rPr>
          <w:rFonts w:eastAsia="SimSun" w:cstheme="minorHAnsi"/>
          <w:b/>
        </w:rPr>
        <w:t>A – Institutional and Implementation Arrangements</w:t>
      </w:r>
    </w:p>
    <w:p w14:paraId="3C5B7D88" w14:textId="77777777" w:rsidR="00351B7A" w:rsidRDefault="00351B7A" w:rsidP="00351B7A">
      <w:pPr>
        <w:widowControl w:val="0"/>
        <w:autoSpaceDE w:val="0"/>
        <w:autoSpaceDN w:val="0"/>
        <w:adjustRightInd w:val="0"/>
        <w:spacing w:after="0" w:line="240" w:lineRule="auto"/>
        <w:ind w:left="3"/>
        <w:jc w:val="both"/>
        <w:rPr>
          <w:rFonts w:eastAsia="Times New Roman" w:cstheme="minorHAnsi"/>
        </w:rPr>
      </w:pPr>
    </w:p>
    <w:p w14:paraId="6E826CFC" w14:textId="0934743A"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601DD">
        <w:rPr>
          <w:rFonts w:eastAsia="Times New Roman" w:cstheme="minorHAnsi"/>
        </w:rPr>
        <w:t xml:space="preserve">In Tanzania, national project activities will be implemented through collaboration and partnership directly and indirectly with stakeholders in the management of the mining industry. Participatory approaches will be prioritized to help stakeholders participate in project implementation to reduce environmental and health risks related to use of mercury in ASGM. </w:t>
      </w:r>
    </w:p>
    <w:p w14:paraId="1C9C04FF" w14:textId="77777777" w:rsidR="00D70D43" w:rsidRDefault="00D70D43" w:rsidP="00D70D43">
      <w:pPr>
        <w:pStyle w:val="ListParagraph"/>
        <w:rPr>
          <w:rFonts w:eastAsia="Times New Roman" w:cstheme="minorHAnsi"/>
          <w:b/>
        </w:rPr>
      </w:pPr>
    </w:p>
    <w:p w14:paraId="28787172"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601DD">
        <w:rPr>
          <w:rFonts w:eastAsia="Times New Roman" w:cstheme="minorHAnsi"/>
          <w:b/>
        </w:rPr>
        <w:t xml:space="preserve">National Steering Committee (NSC), </w:t>
      </w:r>
      <w:r w:rsidRPr="004601DD">
        <w:rPr>
          <w:rFonts w:eastAsia="Times New Roman" w:cstheme="minorHAnsi"/>
        </w:rPr>
        <w:t>will be</w:t>
      </w:r>
      <w:r w:rsidRPr="004601DD">
        <w:rPr>
          <w:rFonts w:eastAsia="Times New Roman" w:cstheme="minorHAnsi"/>
          <w:b/>
        </w:rPr>
        <w:t xml:space="preserve"> </w:t>
      </w:r>
      <w:r w:rsidRPr="004601DD">
        <w:rPr>
          <w:rFonts w:eastAsia="Times New Roman" w:cstheme="minorHAnsi"/>
        </w:rPr>
        <w:t>comprised of the Permanent Secretaries from the Ministries responsible for Environment; Mines; Finance; Health; Water; Local Government; and Industry and Trade. It will also include Chief Executives from the Government Chemist Laboratory Authority (GCLA), Mining Commission, Mineral Resources Institute (MRI), State Mining Corporation (STAMICO), and Small Industry Development Organization (SIDO). The Federation of Miners Association of Tanzania (FEMATA) will represent ASGM. Functions of the NSC are to: (i) receive progress reports on the implementation of project components to provide overall guidance on policy matters that relate to the Artisanal Gold Mining Sector; and (ii) ensure that activities of individual sectors are included in the annual work plans to facilitate the smooth handing over at the end of the project; and (iii) coordinate with the Regional Project to facilitate knowledge sharing among participating countries. The Permanent Secretary (PS) from the ministry responsible for environment will Chair the Steering Committee. The Director General for NEMC will be the Secretary to the NSC. NEMC will be a Secretariat to the NSC which will meet twice a year to facilitate smooth implementation of project activities. The NSC will consult and include as necessary technical representatives from key project implementers, including the Vice President’s Office (VPO-Division of Environment), National Environment Management Council (NEMC), Ministry of Water and Irrigation (</w:t>
      </w:r>
      <w:proofErr w:type="spellStart"/>
      <w:r w:rsidRPr="004601DD">
        <w:rPr>
          <w:rFonts w:eastAsia="Times New Roman" w:cstheme="minorHAnsi"/>
        </w:rPr>
        <w:t>MoW</w:t>
      </w:r>
      <w:proofErr w:type="spellEnd"/>
      <w:r w:rsidRPr="004601DD">
        <w:rPr>
          <w:rFonts w:eastAsia="Times New Roman" w:cstheme="minorHAnsi"/>
        </w:rPr>
        <w:t>), Ministry of Minerals (MoM), Mining Commission (MC), Ministry of Industry and Trade (MIT), Government Chemist Laboratory Authority (GCLA), Ministry of Health, Community Development, Gender, Elderly, and Children (</w:t>
      </w:r>
      <w:proofErr w:type="spellStart"/>
      <w:r w:rsidRPr="004601DD">
        <w:rPr>
          <w:rFonts w:eastAsia="Times New Roman" w:cstheme="minorHAnsi"/>
        </w:rPr>
        <w:t>MoHCDEC</w:t>
      </w:r>
      <w:proofErr w:type="spellEnd"/>
      <w:r w:rsidRPr="004601DD">
        <w:rPr>
          <w:rFonts w:eastAsia="Times New Roman" w:cstheme="minorHAnsi"/>
        </w:rPr>
        <w:t xml:space="preserve">), Mineral Resources Institute (MRI), STAMICO, SIDO, University of Dar es Salaam (UDSM-Mining and Mineral Processing Department), and offices of Regional Administrative Secretaries for </w:t>
      </w:r>
      <w:proofErr w:type="spellStart"/>
      <w:r w:rsidRPr="004601DD">
        <w:rPr>
          <w:rFonts w:eastAsia="Times New Roman" w:cstheme="minorHAnsi"/>
        </w:rPr>
        <w:t>Geita</w:t>
      </w:r>
      <w:proofErr w:type="spellEnd"/>
      <w:r w:rsidRPr="004601DD">
        <w:rPr>
          <w:rFonts w:eastAsia="Times New Roman" w:cstheme="minorHAnsi"/>
        </w:rPr>
        <w:t xml:space="preserve">, Mwanza, Mara, </w:t>
      </w:r>
      <w:proofErr w:type="spellStart"/>
      <w:r w:rsidRPr="004601DD">
        <w:rPr>
          <w:rFonts w:eastAsia="Times New Roman" w:cstheme="minorHAnsi"/>
        </w:rPr>
        <w:t>Shinyanga</w:t>
      </w:r>
      <w:proofErr w:type="spellEnd"/>
      <w:r w:rsidRPr="004601DD">
        <w:rPr>
          <w:rFonts w:eastAsia="Times New Roman" w:cstheme="minorHAnsi"/>
        </w:rPr>
        <w:t xml:space="preserve">, </w:t>
      </w:r>
      <w:proofErr w:type="spellStart"/>
      <w:r w:rsidRPr="004601DD">
        <w:rPr>
          <w:rFonts w:eastAsia="Times New Roman" w:cstheme="minorHAnsi"/>
        </w:rPr>
        <w:t>Singida</w:t>
      </w:r>
      <w:proofErr w:type="spellEnd"/>
      <w:r w:rsidRPr="004601DD">
        <w:rPr>
          <w:rFonts w:eastAsia="Times New Roman" w:cstheme="minorHAnsi"/>
        </w:rPr>
        <w:t xml:space="preserve">, Songwe, and Mbeya Regions as well as offices of Regional Miners Associations (REMAs) in the seven regions where the project will be </w:t>
      </w:r>
      <w:r w:rsidRPr="004601DD">
        <w:rPr>
          <w:rFonts w:eastAsia="Times New Roman" w:cstheme="minorHAnsi"/>
        </w:rPr>
        <w:lastRenderedPageBreak/>
        <w:t xml:space="preserve">implemented. </w:t>
      </w:r>
    </w:p>
    <w:p w14:paraId="2FA4EED8" w14:textId="77777777" w:rsidR="00D70D43" w:rsidRPr="00735B4B" w:rsidRDefault="00D70D43" w:rsidP="00D70D43">
      <w:pPr>
        <w:ind w:left="3"/>
        <w:jc w:val="both"/>
        <w:rPr>
          <w:rFonts w:eastAsia="Times New Roman" w:cstheme="minorHAnsi"/>
        </w:rPr>
      </w:pPr>
    </w:p>
    <w:p w14:paraId="656B926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735B4B">
        <w:rPr>
          <w:rFonts w:eastAsia="Times New Roman" w:cstheme="minorHAnsi"/>
          <w:b/>
        </w:rPr>
        <w:t>Project Coordination Unit (PCU).</w:t>
      </w:r>
      <w:r w:rsidRPr="00735B4B">
        <w:rPr>
          <w:rFonts w:eastAsia="Times New Roman" w:cstheme="minorHAnsi"/>
        </w:rPr>
        <w:t xml:space="preserve"> The Project Coordination Unit will be under the Vice President’s Office (VPO). The National Environment Management Council (NEMC) will serve as the lead coordinating institution which has demonstrated experience in the coordination of multi-sectoral projects. A senior officer from its core staff will be appointed as Project Coordinator, who will report to the Director General of NEMC. The PCU will be responsible for overall coordination and facilitation of the work program and facilitate communication with the regional platform. Within each implementing institution, a focal person will be appointed to coordinate project activities. The responsibilities of NEMC will include the following: (a) the management of the designated account; (b) financial management and reporting on the overall project; (c) ensuring the execution of the audit of the project; (d) preparation of quarterly Interim financial reports. NEMC will oversee the project financial affairs of the project. More specifically it will be fully responsible for overall project financial management, disbursement, reporting, and auditing under the supervision of the Director of the Finance and Administration. This directory has adequate qualified and experienced accountants with long experience in managing other IDA and other donor funded projects. In addition, NEMC has a well manned and experienced Internal Audit Unit. This unit will review project financial affairs as part of their regular internal audit reviews.</w:t>
      </w:r>
    </w:p>
    <w:p w14:paraId="6ADD8E7A" w14:textId="77777777" w:rsidR="00D70D43" w:rsidRPr="00346E0C" w:rsidRDefault="00D70D43" w:rsidP="00D70D43">
      <w:pPr>
        <w:ind w:left="3"/>
        <w:jc w:val="both"/>
        <w:rPr>
          <w:rFonts w:eastAsia="Times New Roman" w:cstheme="minorHAnsi"/>
        </w:rPr>
      </w:pPr>
    </w:p>
    <w:p w14:paraId="50AFDC93" w14:textId="77777777" w:rsidR="00D70D43" w:rsidRDefault="00D70D43" w:rsidP="00D70D43">
      <w:pPr>
        <w:ind w:left="3"/>
        <w:jc w:val="center"/>
        <w:rPr>
          <w:rFonts w:eastAsia="Times New Roman" w:cstheme="minorHAnsi"/>
        </w:rPr>
      </w:pPr>
      <w:r w:rsidRPr="00141F1F">
        <w:rPr>
          <w:rFonts w:eastAsia="Calibri" w:cstheme="minorHAnsi"/>
          <w:noProof/>
        </w:rPr>
        <mc:AlternateContent>
          <mc:Choice Requires="wpg">
            <w:drawing>
              <wp:inline distT="0" distB="0" distL="0" distR="0" wp14:anchorId="3CF76CA7" wp14:editId="7B10172F">
                <wp:extent cx="3803904" cy="2545690"/>
                <wp:effectExtent l="0" t="0" r="6350" b="7620"/>
                <wp:docPr id="202" name="Group 1"/>
                <wp:cNvGraphicFramePr/>
                <a:graphic xmlns:a="http://schemas.openxmlformats.org/drawingml/2006/main">
                  <a:graphicData uri="http://schemas.microsoft.com/office/word/2010/wordprocessingGroup">
                    <wpg:wgp>
                      <wpg:cNvGrpSpPr/>
                      <wpg:grpSpPr>
                        <a:xfrm>
                          <a:off x="0" y="0"/>
                          <a:ext cx="3803904" cy="2545690"/>
                          <a:chOff x="0" y="0"/>
                          <a:chExt cx="4998084" cy="3017211"/>
                        </a:xfrm>
                      </wpg:grpSpPr>
                      <wps:wsp>
                        <wps:cNvPr id="203" name="Rectangle 203"/>
                        <wps:cNvSpPr/>
                        <wps:spPr>
                          <a:xfrm>
                            <a:off x="0" y="0"/>
                            <a:ext cx="4991734" cy="709298"/>
                          </a:xfrm>
                          <a:prstGeom prst="rect">
                            <a:avLst/>
                          </a:prstGeom>
                          <a:solidFill>
                            <a:srgbClr val="4472C4">
                              <a:lumMod val="60000"/>
                              <a:lumOff val="40000"/>
                            </a:srgbClr>
                          </a:solidFill>
                          <a:ln w="12700">
                            <a:noFill/>
                            <a:miter lim="800000"/>
                          </a:ln>
                          <a:effectLst/>
                        </wps:spPr>
                        <wps:txbx>
                          <w:txbxContent>
                            <w:p w14:paraId="66BE6CC8" w14:textId="77777777" w:rsidR="00D70D43" w:rsidRPr="00643522" w:rsidRDefault="00D70D43" w:rsidP="00D70D43">
                              <w:pPr>
                                <w:jc w:val="center"/>
                                <w:rPr>
                                  <w:sz w:val="16"/>
                                  <w:szCs w:val="16"/>
                                </w:rPr>
                              </w:pPr>
                              <w:r w:rsidRPr="00643522">
                                <w:rPr>
                                  <w:rFonts w:hAnsi="Calibri"/>
                                  <w:b/>
                                  <w:bCs/>
                                  <w:kern w:val="24"/>
                                  <w:sz w:val="16"/>
                                  <w:szCs w:val="16"/>
                                </w:rPr>
                                <w:t>Steering Committee</w:t>
                              </w:r>
                            </w:p>
                            <w:p w14:paraId="32601132" w14:textId="77777777" w:rsidR="00D70D43" w:rsidRPr="00643522" w:rsidRDefault="00D70D43" w:rsidP="00D70D43">
                              <w:pPr>
                                <w:jc w:val="center"/>
                                <w:rPr>
                                  <w:sz w:val="16"/>
                                  <w:szCs w:val="16"/>
                                </w:rPr>
                              </w:pPr>
                              <w:r w:rsidRPr="00643522">
                                <w:rPr>
                                  <w:rFonts w:hAnsi="Calibri"/>
                                  <w:kern w:val="24"/>
                                  <w:sz w:val="16"/>
                                  <w:szCs w:val="16"/>
                                </w:rPr>
                                <w:t>Permanent Secretary-level representatives of concerned ministries, chaired by PS-Vice Presidents Office.</w:t>
                              </w:r>
                            </w:p>
                          </w:txbxContent>
                        </wps:txbx>
                        <wps:bodyPr rtlCol="0" anchor="ctr"/>
                      </wps:wsp>
                      <wps:wsp>
                        <wps:cNvPr id="204" name="Rectangle 204"/>
                        <wps:cNvSpPr/>
                        <wps:spPr>
                          <a:xfrm>
                            <a:off x="6350" y="983780"/>
                            <a:ext cx="4991734" cy="709298"/>
                          </a:xfrm>
                          <a:prstGeom prst="rect">
                            <a:avLst/>
                          </a:prstGeom>
                          <a:solidFill>
                            <a:srgbClr val="92D050"/>
                          </a:solidFill>
                          <a:ln w="12700">
                            <a:noFill/>
                            <a:miter lim="800000"/>
                          </a:ln>
                          <a:effectLst/>
                        </wps:spPr>
                        <wps:txbx>
                          <w:txbxContent>
                            <w:p w14:paraId="1B9B95A8" w14:textId="77777777" w:rsidR="00D70D43" w:rsidRPr="00643522" w:rsidRDefault="00D70D43" w:rsidP="00D70D43">
                              <w:pPr>
                                <w:jc w:val="center"/>
                                <w:rPr>
                                  <w:sz w:val="16"/>
                                  <w:szCs w:val="16"/>
                                </w:rPr>
                              </w:pPr>
                              <w:r w:rsidRPr="00643522">
                                <w:rPr>
                                  <w:rFonts w:hAnsi="Calibri"/>
                                  <w:b/>
                                  <w:bCs/>
                                  <w:kern w:val="24"/>
                                  <w:sz w:val="16"/>
                                  <w:szCs w:val="16"/>
                                </w:rPr>
                                <w:t>Project Coordination</w:t>
                              </w:r>
                            </w:p>
                            <w:p w14:paraId="3AC90361" w14:textId="77777777" w:rsidR="00D70D43" w:rsidRPr="00643522" w:rsidRDefault="00D70D43" w:rsidP="00D70D43">
                              <w:pPr>
                                <w:jc w:val="center"/>
                                <w:rPr>
                                  <w:sz w:val="16"/>
                                  <w:szCs w:val="16"/>
                                </w:rPr>
                              </w:pPr>
                              <w:r w:rsidRPr="00643522">
                                <w:rPr>
                                  <w:rFonts w:hAnsi="Calibri"/>
                                  <w:kern w:val="24"/>
                                  <w:sz w:val="16"/>
                                  <w:szCs w:val="16"/>
                                </w:rPr>
                                <w:t>The VPO will coordinate at the ministerial level and NEMC will serve as lead institution at the implementation level. A senior officer from its core staff will serve as Project Coordinator and report to the Director General of NEMC.</w:t>
                              </w:r>
                            </w:p>
                          </w:txbxContent>
                        </wps:txbx>
                        <wps:bodyPr rtlCol="0" anchor="ctr"/>
                      </wps:wsp>
                      <wps:wsp>
                        <wps:cNvPr id="205" name="Rectangle 205"/>
                        <wps:cNvSpPr/>
                        <wps:spPr>
                          <a:xfrm>
                            <a:off x="6350" y="1967560"/>
                            <a:ext cx="1501629" cy="1049651"/>
                          </a:xfrm>
                          <a:prstGeom prst="rect">
                            <a:avLst/>
                          </a:prstGeom>
                          <a:solidFill>
                            <a:srgbClr val="ED7D31">
                              <a:lumMod val="40000"/>
                              <a:lumOff val="60000"/>
                            </a:srgbClr>
                          </a:solidFill>
                          <a:ln w="12700">
                            <a:noFill/>
                            <a:miter lim="800000"/>
                          </a:ln>
                          <a:effectLst/>
                        </wps:spPr>
                        <wps:txbx>
                          <w:txbxContent>
                            <w:p w14:paraId="52A20D36" w14:textId="77777777" w:rsidR="00D70D43" w:rsidRPr="00643522" w:rsidRDefault="00D70D43" w:rsidP="00D70D43">
                              <w:pPr>
                                <w:jc w:val="center"/>
                                <w:rPr>
                                  <w:sz w:val="16"/>
                                  <w:szCs w:val="16"/>
                                </w:rPr>
                              </w:pPr>
                              <w:r w:rsidRPr="00643522">
                                <w:rPr>
                                  <w:rFonts w:hAnsi="Calibri"/>
                                  <w:b/>
                                  <w:bCs/>
                                  <w:kern w:val="24"/>
                                  <w:sz w:val="16"/>
                                  <w:szCs w:val="16"/>
                                </w:rPr>
                                <w:t>Component 1: Institutional Strengthening, knowledge &amp; capacity building</w:t>
                              </w:r>
                            </w:p>
                            <w:p w14:paraId="2DE1A836" w14:textId="77777777" w:rsidR="00D70D43" w:rsidRPr="00643522" w:rsidRDefault="00D70D43" w:rsidP="00D70D43">
                              <w:pPr>
                                <w:jc w:val="center"/>
                                <w:rPr>
                                  <w:sz w:val="16"/>
                                  <w:szCs w:val="16"/>
                                </w:rPr>
                              </w:pPr>
                              <w:r w:rsidRPr="00643522">
                                <w:rPr>
                                  <w:rFonts w:hAnsi="Calibri"/>
                                  <w:kern w:val="24"/>
                                  <w:sz w:val="16"/>
                                  <w:szCs w:val="16"/>
                                </w:rPr>
                                <w:t>Lead &amp; supporting agencies: NEMC, MoM, MC, VPO, GCLA, MoW, MoHCDGEC, FEMATA, REMA.</w:t>
                              </w:r>
                            </w:p>
                          </w:txbxContent>
                        </wps:txbx>
                        <wps:bodyPr rtlCol="0" anchor="ctr"/>
                      </wps:wsp>
                      <wps:wsp>
                        <wps:cNvPr id="206" name="Rectangle 206"/>
                        <wps:cNvSpPr/>
                        <wps:spPr>
                          <a:xfrm>
                            <a:off x="1751401" y="1967560"/>
                            <a:ext cx="1501630" cy="1049651"/>
                          </a:xfrm>
                          <a:prstGeom prst="rect">
                            <a:avLst/>
                          </a:prstGeom>
                          <a:solidFill>
                            <a:srgbClr val="ED7D31">
                              <a:lumMod val="40000"/>
                              <a:lumOff val="60000"/>
                            </a:srgbClr>
                          </a:solidFill>
                          <a:ln w="12700">
                            <a:noFill/>
                            <a:miter lim="800000"/>
                          </a:ln>
                          <a:effectLst/>
                        </wps:spPr>
                        <wps:txbx>
                          <w:txbxContent>
                            <w:p w14:paraId="00E65B05" w14:textId="77777777" w:rsidR="00D70D43" w:rsidRPr="00643522" w:rsidRDefault="00D70D43" w:rsidP="00D70D43">
                              <w:pPr>
                                <w:jc w:val="center"/>
                                <w:rPr>
                                  <w:sz w:val="16"/>
                                  <w:szCs w:val="16"/>
                                </w:rPr>
                              </w:pPr>
                              <w:r w:rsidRPr="00643522">
                                <w:rPr>
                                  <w:rFonts w:hAnsi="Calibri"/>
                                  <w:b/>
                                  <w:bCs/>
                                  <w:kern w:val="24"/>
                                  <w:sz w:val="16"/>
                                  <w:szCs w:val="16"/>
                                </w:rPr>
                                <w:t>Component 2: Policy dialogue and regulatory enhancement</w:t>
                              </w:r>
                            </w:p>
                            <w:p w14:paraId="203E91CE" w14:textId="77777777" w:rsidR="00D70D43" w:rsidRPr="00643522" w:rsidRDefault="00D70D43" w:rsidP="00D70D43">
                              <w:pPr>
                                <w:jc w:val="center"/>
                                <w:rPr>
                                  <w:sz w:val="16"/>
                                  <w:szCs w:val="16"/>
                                </w:rPr>
                              </w:pPr>
                              <w:r w:rsidRPr="00643522">
                                <w:rPr>
                                  <w:rFonts w:hAnsi="Calibri"/>
                                  <w:kern w:val="24"/>
                                  <w:sz w:val="16"/>
                                  <w:szCs w:val="16"/>
                                </w:rPr>
                                <w:t>Lead &amp; supporting agencies: NEMC, MoM, MC, VPO, GCLA, MoW, MoHCDGEC.</w:t>
                              </w:r>
                            </w:p>
                          </w:txbxContent>
                        </wps:txbx>
                        <wps:bodyPr rtlCol="0" anchor="ctr"/>
                      </wps:wsp>
                      <wps:wsp>
                        <wps:cNvPr id="207" name="Rectangle 207"/>
                        <wps:cNvSpPr/>
                        <wps:spPr>
                          <a:xfrm>
                            <a:off x="3496453" y="1967560"/>
                            <a:ext cx="1501631" cy="1049651"/>
                          </a:xfrm>
                          <a:prstGeom prst="rect">
                            <a:avLst/>
                          </a:prstGeom>
                          <a:solidFill>
                            <a:srgbClr val="ED7D31">
                              <a:lumMod val="40000"/>
                              <a:lumOff val="60000"/>
                            </a:srgbClr>
                          </a:solidFill>
                          <a:ln w="12700">
                            <a:noFill/>
                            <a:miter lim="800000"/>
                          </a:ln>
                          <a:effectLst/>
                        </wps:spPr>
                        <wps:txbx>
                          <w:txbxContent>
                            <w:p w14:paraId="24FEE3A2" w14:textId="77777777" w:rsidR="00D70D43" w:rsidRPr="00643522" w:rsidRDefault="00D70D43" w:rsidP="00D70D43">
                              <w:pPr>
                                <w:jc w:val="center"/>
                                <w:rPr>
                                  <w:sz w:val="16"/>
                                  <w:szCs w:val="16"/>
                                </w:rPr>
                              </w:pPr>
                              <w:r w:rsidRPr="00643522">
                                <w:rPr>
                                  <w:rFonts w:hAnsi="Calibri"/>
                                  <w:b/>
                                  <w:bCs/>
                                  <w:kern w:val="24"/>
                                  <w:sz w:val="16"/>
                                  <w:szCs w:val="16"/>
                                </w:rPr>
                                <w:t>Component 3: Technological tools &amp; economic approaches</w:t>
                              </w:r>
                            </w:p>
                            <w:p w14:paraId="616F752F"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GCLA, SIDO, MRI. </w:t>
                              </w:r>
                            </w:p>
                          </w:txbxContent>
                        </wps:txbx>
                        <wps:bodyPr rtlCol="0" anchor="ctr"/>
                      </wps:wsp>
                      <wps:wsp>
                        <wps:cNvPr id="208" name="Connector: Elbow 208"/>
                        <wps:cNvCnPr/>
                        <wps:spPr>
                          <a:xfrm rot="5400000">
                            <a:off x="1492450" y="957793"/>
                            <a:ext cx="274482" cy="1745052"/>
                          </a:xfrm>
                          <a:prstGeom prst="bentConnector3">
                            <a:avLst/>
                          </a:prstGeom>
                          <a:noFill/>
                          <a:ln w="28575">
                            <a:solidFill>
                              <a:sysClr val="windowText" lastClr="000000"/>
                            </a:solidFill>
                            <a:miter lim="800000"/>
                            <a:tailEnd type="triangle"/>
                          </a:ln>
                          <a:effectLst/>
                        </wps:spPr>
                        <wps:bodyPr/>
                      </wps:wsp>
                      <wps:wsp>
                        <wps:cNvPr id="209" name="Connector: Elbow 209"/>
                        <wps:cNvCnPr/>
                        <wps:spPr>
                          <a:xfrm rot="16200000" flipH="1">
                            <a:off x="3237502" y="957793"/>
                            <a:ext cx="274482" cy="1745052"/>
                          </a:xfrm>
                          <a:prstGeom prst="bentConnector3">
                            <a:avLst>
                              <a:gd name="adj1" fmla="val 50000"/>
                            </a:avLst>
                          </a:prstGeom>
                          <a:noFill/>
                          <a:ln w="28575">
                            <a:solidFill>
                              <a:sysClr val="windowText" lastClr="000000"/>
                            </a:solidFill>
                            <a:miter lim="800000"/>
                            <a:tailEnd type="triangle"/>
                          </a:ln>
                          <a:effectLst/>
                        </wps:spPr>
                        <wps:bodyPr/>
                      </wps:wsp>
                      <wps:wsp>
                        <wps:cNvPr id="210" name="Connector: Elbow 210"/>
                        <wps:cNvCnPr/>
                        <wps:spPr>
                          <a:xfrm rot="5400000">
                            <a:off x="2364976" y="1830319"/>
                            <a:ext cx="274482" cy="1"/>
                          </a:xfrm>
                          <a:prstGeom prst="bentConnector3">
                            <a:avLst>
                              <a:gd name="adj1" fmla="val 50000"/>
                            </a:avLst>
                          </a:prstGeom>
                          <a:noFill/>
                          <a:ln w="28575">
                            <a:solidFill>
                              <a:sysClr val="windowText" lastClr="000000"/>
                            </a:solidFill>
                            <a:miter lim="800000"/>
                            <a:tailEnd type="triangle"/>
                          </a:ln>
                          <a:effectLst/>
                        </wps:spPr>
                        <wps:bodyPr/>
                      </wps:wsp>
                      <wps:wsp>
                        <wps:cNvPr id="211" name="Connector: Elbow 211"/>
                        <wps:cNvCnPr/>
                        <wps:spPr>
                          <a:xfrm rot="5400000">
                            <a:off x="2364976" y="846539"/>
                            <a:ext cx="274482" cy="12700"/>
                          </a:xfrm>
                          <a:prstGeom prst="bentConnector3">
                            <a:avLst>
                              <a:gd name="adj1" fmla="val 1099"/>
                            </a:avLst>
                          </a:prstGeom>
                          <a:noFill/>
                          <a:ln w="28575">
                            <a:solidFill>
                              <a:sysClr val="windowText" lastClr="000000"/>
                            </a:solidFill>
                            <a:miter lim="800000"/>
                            <a:tailEnd type="triangle"/>
                          </a:ln>
                          <a:effectLst/>
                        </wps:spPr>
                        <wps:bodyPr/>
                      </wps:wsp>
                    </wpg:wgp>
                  </a:graphicData>
                </a:graphic>
              </wp:inline>
            </w:drawing>
          </mc:Choice>
          <mc:Fallback>
            <w:pict>
              <v:group w14:anchorId="3CF76CA7" id="Group 1" o:spid="_x0000_s1026" style="width:299.5pt;height:200.45pt;mso-position-horizontal-relative:char;mso-position-vertical-relative:line" coordsize="49980,30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">
                <v:rect id="Rectangle 203" o:spid="_x0000_s1027" style="position:absolute;width:49917;height:70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" fillcolor="#8faadc" stroked="f" strokeweight="1pt">
                  <v:textbox>
                    <w:txbxContent>
                      <w:p w14:paraId="66BE6CC8" w14:textId="77777777" w:rsidR="00D70D43" w:rsidRPr="00643522" w:rsidRDefault="00D70D43" w:rsidP="00D70D43">
                        <w:pPr>
                          <w:jc w:val="center"/>
                          <w:rPr>
                            <w:sz w:val="16"/>
                            <w:szCs w:val="16"/>
                          </w:rPr>
                        </w:pPr>
                        <w:r w:rsidRPr="00643522">
                          <w:rPr>
                            <w:rFonts w:hAnsi="Calibri"/>
                            <w:b/>
                            <w:bCs/>
                            <w:kern w:val="24"/>
                            <w:sz w:val="16"/>
                            <w:szCs w:val="16"/>
                          </w:rPr>
                          <w:t>Steering Committee</w:t>
                        </w:r>
                      </w:p>
                      <w:p w14:paraId="32601132" w14:textId="77777777" w:rsidR="00D70D43" w:rsidRPr="00643522" w:rsidRDefault="00D70D43" w:rsidP="00D70D43">
                        <w:pPr>
                          <w:jc w:val="center"/>
                          <w:rPr>
                            <w:sz w:val="16"/>
                            <w:szCs w:val="16"/>
                          </w:rPr>
                        </w:pPr>
                        <w:proofErr w:type="gramStart"/>
                        <w:r w:rsidRPr="00643522">
                          <w:rPr>
                            <w:rFonts w:hAnsi="Calibri"/>
                            <w:kern w:val="24"/>
                            <w:sz w:val="16"/>
                            <w:szCs w:val="16"/>
                          </w:rPr>
                          <w:t>Permanent Secretary-level representatives of concerned ministries,</w:t>
                        </w:r>
                        <w:proofErr w:type="gramEnd"/>
                        <w:r w:rsidRPr="00643522">
                          <w:rPr>
                            <w:rFonts w:hAnsi="Calibri"/>
                            <w:kern w:val="24"/>
                            <w:sz w:val="16"/>
                            <w:szCs w:val="16"/>
                          </w:rPr>
                          <w:t xml:space="preserve"> chaired by PS-Vice Presidents Office.</w:t>
                        </w:r>
                      </w:p>
                    </w:txbxContent>
                  </v:textbox>
                </v:rect>
                <v:rect id="Rectangle 204" o:spid="_x0000_s1028" style="position:absolute;left:63;top:9837;width:49917;height:70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" fillcolor="#92d050" stroked="f" strokeweight="1pt">
                  <v:textbox>
                    <w:txbxContent>
                      <w:p w14:paraId="1B9B95A8" w14:textId="77777777" w:rsidR="00D70D43" w:rsidRPr="00643522" w:rsidRDefault="00D70D43" w:rsidP="00D70D43">
                        <w:pPr>
                          <w:jc w:val="center"/>
                          <w:rPr>
                            <w:sz w:val="16"/>
                            <w:szCs w:val="16"/>
                          </w:rPr>
                        </w:pPr>
                        <w:r w:rsidRPr="00643522">
                          <w:rPr>
                            <w:rFonts w:hAnsi="Calibri"/>
                            <w:b/>
                            <w:bCs/>
                            <w:kern w:val="24"/>
                            <w:sz w:val="16"/>
                            <w:szCs w:val="16"/>
                          </w:rPr>
                          <w:t>Project Coordination</w:t>
                        </w:r>
                      </w:p>
                      <w:p w14:paraId="3AC90361" w14:textId="77777777" w:rsidR="00D70D43" w:rsidRPr="00643522" w:rsidRDefault="00D70D43" w:rsidP="00D70D43">
                        <w:pPr>
                          <w:jc w:val="center"/>
                          <w:rPr>
                            <w:sz w:val="16"/>
                            <w:szCs w:val="16"/>
                          </w:rPr>
                        </w:pPr>
                        <w:r w:rsidRPr="00643522">
                          <w:rPr>
                            <w:rFonts w:hAnsi="Calibri"/>
                            <w:kern w:val="24"/>
                            <w:sz w:val="16"/>
                            <w:szCs w:val="16"/>
                          </w:rPr>
                          <w:t>The VPO will coordinate at the ministerial level and NEMC will serve as lead institution at the implementation level. A senior officer from its core staff will serve as Project Coordinator and report to the Director General of NEMC.</w:t>
                        </w:r>
                      </w:p>
                    </w:txbxContent>
                  </v:textbox>
                </v:rect>
                <v:rect id="Rectangle 205" o:spid="_x0000_s1029" style="position:absolute;left:63;top:19675;width:15016;height:104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" fillcolor="#f8cbad" stroked="f" strokeweight="1pt">
                  <v:textbox>
                    <w:txbxContent>
                      <w:p w14:paraId="52A20D36" w14:textId="77777777" w:rsidR="00D70D43" w:rsidRPr="00643522" w:rsidRDefault="00D70D43" w:rsidP="00D70D43">
                        <w:pPr>
                          <w:jc w:val="center"/>
                          <w:rPr>
                            <w:sz w:val="16"/>
                            <w:szCs w:val="16"/>
                          </w:rPr>
                        </w:pPr>
                        <w:r w:rsidRPr="00643522">
                          <w:rPr>
                            <w:rFonts w:hAnsi="Calibri"/>
                            <w:b/>
                            <w:bCs/>
                            <w:kern w:val="24"/>
                            <w:sz w:val="16"/>
                            <w:szCs w:val="16"/>
                          </w:rPr>
                          <w:t>Component 1: Institutional Strengthening, knowledge &amp; capacity building</w:t>
                        </w:r>
                      </w:p>
                      <w:p w14:paraId="2DE1A836"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VPO, GCLA, </w:t>
                        </w:r>
                        <w:proofErr w:type="spellStart"/>
                        <w:r w:rsidRPr="00643522">
                          <w:rPr>
                            <w:rFonts w:hAnsi="Calibri"/>
                            <w:kern w:val="24"/>
                            <w:sz w:val="16"/>
                            <w:szCs w:val="16"/>
                          </w:rPr>
                          <w:t>MoW</w:t>
                        </w:r>
                        <w:proofErr w:type="spellEnd"/>
                        <w:r w:rsidRPr="00643522">
                          <w:rPr>
                            <w:rFonts w:hAnsi="Calibri"/>
                            <w:kern w:val="24"/>
                            <w:sz w:val="16"/>
                            <w:szCs w:val="16"/>
                          </w:rPr>
                          <w:t xml:space="preserve">, </w:t>
                        </w:r>
                        <w:proofErr w:type="spellStart"/>
                        <w:r w:rsidRPr="00643522">
                          <w:rPr>
                            <w:rFonts w:hAnsi="Calibri"/>
                            <w:kern w:val="24"/>
                            <w:sz w:val="16"/>
                            <w:szCs w:val="16"/>
                          </w:rPr>
                          <w:t>MoHCDGEC</w:t>
                        </w:r>
                        <w:proofErr w:type="spellEnd"/>
                        <w:r w:rsidRPr="00643522">
                          <w:rPr>
                            <w:rFonts w:hAnsi="Calibri"/>
                            <w:kern w:val="24"/>
                            <w:sz w:val="16"/>
                            <w:szCs w:val="16"/>
                          </w:rPr>
                          <w:t>, FEMATA, REMA.</w:t>
                        </w:r>
                      </w:p>
                    </w:txbxContent>
                  </v:textbox>
                </v:rect>
                <v:rect id="Rectangle 206" o:spid="_x0000_s1030" style="position:absolute;left:17514;top:19675;width:15016;height:104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" fillcolor="#f8cbad" stroked="f" strokeweight="1pt">
                  <v:textbox>
                    <w:txbxContent>
                      <w:p w14:paraId="00E65B05" w14:textId="77777777" w:rsidR="00D70D43" w:rsidRPr="00643522" w:rsidRDefault="00D70D43" w:rsidP="00D70D43">
                        <w:pPr>
                          <w:jc w:val="center"/>
                          <w:rPr>
                            <w:sz w:val="16"/>
                            <w:szCs w:val="16"/>
                          </w:rPr>
                        </w:pPr>
                        <w:r w:rsidRPr="00643522">
                          <w:rPr>
                            <w:rFonts w:hAnsi="Calibri"/>
                            <w:b/>
                            <w:bCs/>
                            <w:kern w:val="24"/>
                            <w:sz w:val="16"/>
                            <w:szCs w:val="16"/>
                          </w:rPr>
                          <w:t>Component 2: Policy dialogue and regulatory enhancement</w:t>
                        </w:r>
                      </w:p>
                      <w:p w14:paraId="203E91CE"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VPO, GCLA, </w:t>
                        </w:r>
                        <w:proofErr w:type="spellStart"/>
                        <w:r w:rsidRPr="00643522">
                          <w:rPr>
                            <w:rFonts w:hAnsi="Calibri"/>
                            <w:kern w:val="24"/>
                            <w:sz w:val="16"/>
                            <w:szCs w:val="16"/>
                          </w:rPr>
                          <w:t>MoW</w:t>
                        </w:r>
                        <w:proofErr w:type="spellEnd"/>
                        <w:r w:rsidRPr="00643522">
                          <w:rPr>
                            <w:rFonts w:hAnsi="Calibri"/>
                            <w:kern w:val="24"/>
                            <w:sz w:val="16"/>
                            <w:szCs w:val="16"/>
                          </w:rPr>
                          <w:t xml:space="preserve">, </w:t>
                        </w:r>
                        <w:proofErr w:type="spellStart"/>
                        <w:r w:rsidRPr="00643522">
                          <w:rPr>
                            <w:rFonts w:hAnsi="Calibri"/>
                            <w:kern w:val="24"/>
                            <w:sz w:val="16"/>
                            <w:szCs w:val="16"/>
                          </w:rPr>
                          <w:t>MoHCDGEC</w:t>
                        </w:r>
                        <w:proofErr w:type="spellEnd"/>
                        <w:r w:rsidRPr="00643522">
                          <w:rPr>
                            <w:rFonts w:hAnsi="Calibri"/>
                            <w:kern w:val="24"/>
                            <w:sz w:val="16"/>
                            <w:szCs w:val="16"/>
                          </w:rPr>
                          <w:t>.</w:t>
                        </w:r>
                      </w:p>
                    </w:txbxContent>
                  </v:textbox>
                </v:rect>
                <v:rect id="Rectangle 207" o:spid="_x0000_s1031" style="position:absolute;left:34964;top:19675;width:15016;height:104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" fillcolor="#f8cbad" stroked="f" strokeweight="1pt">
                  <v:textbox>
                    <w:txbxContent>
                      <w:p w14:paraId="24FEE3A2" w14:textId="77777777" w:rsidR="00D70D43" w:rsidRPr="00643522" w:rsidRDefault="00D70D43" w:rsidP="00D70D43">
                        <w:pPr>
                          <w:jc w:val="center"/>
                          <w:rPr>
                            <w:sz w:val="16"/>
                            <w:szCs w:val="16"/>
                          </w:rPr>
                        </w:pPr>
                        <w:r w:rsidRPr="00643522">
                          <w:rPr>
                            <w:rFonts w:hAnsi="Calibri"/>
                            <w:b/>
                            <w:bCs/>
                            <w:kern w:val="24"/>
                            <w:sz w:val="16"/>
                            <w:szCs w:val="16"/>
                          </w:rPr>
                          <w:t>Component 3: Technological tools &amp; economic approaches</w:t>
                        </w:r>
                      </w:p>
                      <w:p w14:paraId="616F752F" w14:textId="77777777" w:rsidR="00D70D43" w:rsidRPr="00643522" w:rsidRDefault="00D70D43" w:rsidP="00D70D43">
                        <w:pPr>
                          <w:jc w:val="center"/>
                          <w:rPr>
                            <w:sz w:val="16"/>
                            <w:szCs w:val="16"/>
                          </w:rPr>
                        </w:pPr>
                        <w:r w:rsidRPr="00643522">
                          <w:rPr>
                            <w:rFonts w:hAnsi="Calibri"/>
                            <w:kern w:val="24"/>
                            <w:sz w:val="16"/>
                            <w:szCs w:val="16"/>
                          </w:rPr>
                          <w:t xml:space="preserve">Lead &amp; supporting agencies: NEMC, MoM, MC, GCLA, SIDO, MRI. </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208" o:spid="_x0000_s1032" type="#_x0000_t34" style="position:absolute;left:14924;top:9577;width:2745;height:17451;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" strokecolor="windowText" strokeweight="2.25pt">
                  <v:stroke endarrow="block"/>
                </v:shape>
                <v:shape id="Connector: Elbow 209" o:spid="_x0000_s1033" type="#_x0000_t34" style="position:absolute;left:32374;top:9578;width:2745;height:1745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" strokecolor="windowText" strokeweight="2.25pt">
                  <v:stroke endarrow="block"/>
                </v:shape>
                <v:shape id="Connector: Elbow 210" o:spid="_x0000_s1034" type="#_x0000_t34" style="position:absolute;left:23649;top:18303;width:2745;height: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" strokecolor="windowText" strokeweight="2.25pt">
                  <v:stroke endarrow="block"/>
                </v:shape>
                <v:shape id="Connector: Elbow 211" o:spid="_x0000_s1035" type="#_x0000_t34" style="position:absolute;left:23649;top:8465;width:2745;height:12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" adj="237" strokecolor="windowText" strokeweight="2.25pt">
                  <v:stroke endarrow="block"/>
                </v:shape>
                <w10:anchorlock/>
              </v:group>
            </w:pict>
          </mc:Fallback>
        </mc:AlternateContent>
      </w:r>
    </w:p>
    <w:p w14:paraId="05ADCFCB" w14:textId="77777777" w:rsidR="00D70D43" w:rsidRDefault="00D70D43" w:rsidP="00D70D43">
      <w:pPr>
        <w:ind w:left="3"/>
        <w:jc w:val="center"/>
        <w:rPr>
          <w:rFonts w:eastAsia="Times New Roman" w:cstheme="minorHAnsi"/>
        </w:rPr>
      </w:pPr>
      <w:r w:rsidRPr="00346E0C">
        <w:rPr>
          <w:rFonts w:eastAsia="Calibri" w:cstheme="minorHAnsi"/>
          <w:b/>
          <w:i/>
        </w:rPr>
        <w:t>Figure 1.</w:t>
      </w:r>
      <w:r w:rsidRPr="00346E0C">
        <w:rPr>
          <w:rFonts w:eastAsia="Calibri" w:cstheme="minorHAnsi"/>
          <w:i/>
        </w:rPr>
        <w:t xml:space="preserve"> Project implementation arrangements</w:t>
      </w:r>
    </w:p>
    <w:p w14:paraId="780950CC" w14:textId="77777777" w:rsidR="00D70D43" w:rsidRDefault="00D70D43" w:rsidP="00D70D43">
      <w:pPr>
        <w:jc w:val="both"/>
        <w:rPr>
          <w:rFonts w:eastAsia="Times New Roman" w:cstheme="minorHAnsi"/>
        </w:rPr>
      </w:pPr>
    </w:p>
    <w:p w14:paraId="186D88D7" w14:textId="77777777" w:rsidR="00D70D43" w:rsidRDefault="00D70D43" w:rsidP="00D70D43">
      <w:pPr>
        <w:jc w:val="both"/>
        <w:rPr>
          <w:rFonts w:eastAsia="Times New Roman" w:cstheme="minorHAnsi"/>
        </w:rPr>
      </w:pPr>
      <w:r w:rsidRPr="00346E0C">
        <w:rPr>
          <w:rFonts w:eastAsia="Times New Roman" w:cstheme="minorHAnsi"/>
          <w:b/>
        </w:rPr>
        <w:t>B – Results Monitoring and Evaluation Arrangements</w:t>
      </w:r>
    </w:p>
    <w:p w14:paraId="28EC4ABC"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346E0C">
        <w:rPr>
          <w:rFonts w:eastAsia="Times New Roman" w:cstheme="minorHAnsi"/>
          <w:b/>
        </w:rPr>
        <w:t>Project reporting.</w:t>
      </w:r>
      <w:r w:rsidRPr="00346E0C">
        <w:rPr>
          <w:rFonts w:eastAsia="Times New Roman" w:cstheme="minorHAnsi"/>
        </w:rPr>
        <w:t xml:space="preserve"> The lead coordinating institution (NEMC), under the Project Coordinator will be responsible for monitoring and evaluation (M&amp;E) and will report on project performance to the National Steering Committee (NSC). All implementers of activities are required to submit quarterly reports to the Project Focal Person at the NEMC outlining the following: i) type of activity undertaken; ii) expected outputs; iii) timeline of activities; iv) allocated budget; and v) actual expenditure. The project will establish an appropriate M&amp;E system to track progress against the set indicators to provide an overall assessment </w:t>
      </w:r>
      <w:r w:rsidRPr="00346E0C">
        <w:rPr>
          <w:rFonts w:eastAsia="Times New Roman" w:cstheme="minorHAnsi"/>
        </w:rPr>
        <w:lastRenderedPageBreak/>
        <w:t>of project performance. The Focal Person will prepare a report at the end of each quarter to highlight achievements and challenges faced, and future activities required to achieve the stated objectives. These reports will be presented and discussed at bi-annual review meetings.</w:t>
      </w:r>
    </w:p>
    <w:p w14:paraId="0BFBCC1E" w14:textId="77777777" w:rsidR="00D70D43" w:rsidRPr="004E5E45" w:rsidRDefault="00D70D43" w:rsidP="00D70D43">
      <w:pPr>
        <w:ind w:left="3"/>
        <w:jc w:val="both"/>
        <w:rPr>
          <w:rFonts w:eastAsia="Times New Roman" w:cstheme="minorHAnsi"/>
        </w:rPr>
      </w:pPr>
    </w:p>
    <w:p w14:paraId="55D248C1"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E5E45">
        <w:rPr>
          <w:rFonts w:eastAsia="Calibri" w:cstheme="minorHAnsi"/>
          <w:b/>
        </w:rPr>
        <w:t xml:space="preserve">C – Sustainability </w:t>
      </w:r>
    </w:p>
    <w:p w14:paraId="7F3DF43E" w14:textId="77777777" w:rsidR="00D70D43" w:rsidRDefault="00D70D43" w:rsidP="00D70D43">
      <w:pPr>
        <w:pStyle w:val="ListParagraph"/>
        <w:rPr>
          <w:rFonts w:eastAsia="Times New Roman" w:cstheme="minorHAnsi"/>
        </w:rPr>
      </w:pPr>
    </w:p>
    <w:p w14:paraId="06CFF074"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E5E45">
        <w:rPr>
          <w:rFonts w:eastAsia="Times New Roman" w:cstheme="minorHAnsi"/>
        </w:rPr>
        <w:t xml:space="preserve">The VPO-Division of Environment is responsible for coordination of environmental issues whereas NEMC is both a regulatory and advisory body that deals with the compliance and enforcement as well as coordinating research on environmental issues. The Ministry of Minerals is responsible for formulation and overseeing all policy issues in the mineral sector. The Mining Commission is also a regulatory body responsible for supervision the proper and effective implementation of the Mining Act, issuing licenses as well regulating and monitoring the mining industry and mining operations in Tanzania. </w:t>
      </w:r>
    </w:p>
    <w:p w14:paraId="7248446A" w14:textId="77777777" w:rsidR="00D70D43" w:rsidRDefault="00D70D43" w:rsidP="00D70D43">
      <w:pPr>
        <w:pStyle w:val="ListParagraph"/>
        <w:rPr>
          <w:rFonts w:eastAsia="Times New Roman" w:cstheme="minorHAnsi"/>
        </w:rPr>
      </w:pPr>
    </w:p>
    <w:p w14:paraId="59759223"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C3657">
        <w:rPr>
          <w:rFonts w:eastAsia="Times New Roman" w:cstheme="minorHAnsi"/>
        </w:rPr>
        <w:t xml:space="preserve">To support this multi-sectoral project, a TC will be established to ensure oversight and involvement of implementing institutions at various stages of the project execution. The project will enhance institutional capacity (humans, finance, equipment and tools) for sectors involved in managing and regulating artisanal and small-scale gold mining.  The project will facilitate and ensure stakeholders coordination and participation in the regional learning and knowledge sharing on the management of harmful chemicals used in ASGM. This will contribute to strengthening the regional partnerships and collaboration. </w:t>
      </w:r>
    </w:p>
    <w:p w14:paraId="0E743DD5" w14:textId="77777777" w:rsidR="00D70D43" w:rsidRDefault="00D70D43" w:rsidP="00D70D43">
      <w:pPr>
        <w:pStyle w:val="ListParagraph"/>
        <w:rPr>
          <w:rFonts w:eastAsia="Times New Roman" w:cstheme="minorHAnsi"/>
        </w:rPr>
      </w:pPr>
    </w:p>
    <w:p w14:paraId="1C74C430"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1577C">
        <w:rPr>
          <w:rFonts w:eastAsia="Times New Roman" w:cstheme="minorHAnsi"/>
        </w:rPr>
        <w:t xml:space="preserve">The project will address barriers and constrains at all levels to ensure transparency in import, handling, usage and disposal of mercury waste in ASGM sector. The policy and regulatory aspects of mining will be strengthened to include provisions for recognition of legal importation, trading and acquisition of mercury. An inventory and tracking of mercury import and use in the ASGM sector would be implemented as part of capacity building plan. The project will also work in collaboration with Mining Commission and GCLA to put in place systems for regulating the mercury trade through steps required to implement the Minamata Convention. </w:t>
      </w:r>
    </w:p>
    <w:p w14:paraId="46971491" w14:textId="77777777" w:rsidR="00D70D43" w:rsidRDefault="00D70D43" w:rsidP="00D70D43">
      <w:pPr>
        <w:pStyle w:val="ListParagraph"/>
        <w:rPr>
          <w:rFonts w:eastAsia="Times New Roman" w:cstheme="minorHAnsi"/>
        </w:rPr>
      </w:pPr>
    </w:p>
    <w:p w14:paraId="2CFCE22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1577C">
        <w:rPr>
          <w:rFonts w:eastAsia="Times New Roman" w:cstheme="minorHAnsi"/>
        </w:rPr>
        <w:t>The project will enhance institutional and human capacity as well as compliance with regulatory requirements related to formalization and better management of ASGM. The project will promote the introduction of cleaner technologies by promoting research on alternative technologies and systematically implement plans for phasing down and phasing out of mercury usage in ASGM.</w:t>
      </w:r>
    </w:p>
    <w:p w14:paraId="7C7DE0F0" w14:textId="77777777" w:rsidR="00D70D43" w:rsidRDefault="00D70D43" w:rsidP="00D70D43">
      <w:pPr>
        <w:pStyle w:val="ListParagraph"/>
        <w:rPr>
          <w:rFonts w:eastAsia="Times New Roman" w:cstheme="minorHAnsi"/>
          <w:b/>
          <w:bCs/>
        </w:rPr>
      </w:pPr>
    </w:p>
    <w:p w14:paraId="042B5C6A" w14:textId="77777777" w:rsidR="00D70D43" w:rsidRDefault="00D70D43" w:rsidP="00D70D43">
      <w:pPr>
        <w:ind w:left="3"/>
        <w:jc w:val="both"/>
        <w:rPr>
          <w:rFonts w:eastAsia="Times New Roman" w:cstheme="minorHAnsi"/>
        </w:rPr>
      </w:pPr>
      <w:r w:rsidRPr="0091577C">
        <w:rPr>
          <w:rFonts w:eastAsia="Calibri" w:cstheme="minorHAnsi"/>
          <w:b/>
        </w:rPr>
        <w:t xml:space="preserve">OVERALL RISK AND EXPLANATION </w:t>
      </w:r>
    </w:p>
    <w:p w14:paraId="1F7074C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24296B">
        <w:rPr>
          <w:rFonts w:eastAsia="Times New Roman" w:cstheme="minorHAnsi"/>
        </w:rPr>
        <w:t>In Tanzania, the overall risk of the project is “Moderate” even though regionally it can be “Substantial” given the significance of political, governance and institutional capacity risks related to participating countries.</w:t>
      </w:r>
    </w:p>
    <w:p w14:paraId="383DE1EC" w14:textId="77777777" w:rsidR="00D70D43" w:rsidRDefault="00D70D43" w:rsidP="00D70D43">
      <w:pPr>
        <w:ind w:left="3"/>
        <w:jc w:val="both"/>
        <w:rPr>
          <w:rFonts w:eastAsia="Times New Roman" w:cstheme="minorHAnsi"/>
        </w:rPr>
      </w:pPr>
    </w:p>
    <w:p w14:paraId="3910E178"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24296B">
        <w:rPr>
          <w:rFonts w:eastAsia="Times New Roman" w:cstheme="minorHAnsi"/>
          <w:b/>
        </w:rPr>
        <w:t>Political and Governance</w:t>
      </w:r>
      <w:r w:rsidRPr="0024296B">
        <w:rPr>
          <w:rFonts w:eastAsia="Times New Roman" w:cstheme="minorHAnsi"/>
        </w:rPr>
        <w:t xml:space="preserve"> risk is rated Moderate and will be mitigated by implementing activities of Components 1, 2, and 3 particularly on the regulation on the importation, handling and usage of mercury. </w:t>
      </w:r>
      <w:r w:rsidRPr="0024296B">
        <w:rPr>
          <w:rFonts w:eastAsia="Times New Roman" w:cstheme="minorHAnsi"/>
        </w:rPr>
        <w:lastRenderedPageBreak/>
        <w:t xml:space="preserve">The political will on the development of policies, laws and regulations as well as amendments made on some laws and regulations will help in mitigating this risk. The Mining Act, 2010 and its Amendments of 2017 together with Mining Regulations of 2018 have addressed issues of transforming and formalizing artisanal and small-scale miners and need for them to prepare Environmental Protection Plan (EPP) in addressing environmental issues. Furthermore, the Environmental Management Act, 2004 has emphasized the need for undertaking environmental assessment in all mining projects.  </w:t>
      </w:r>
    </w:p>
    <w:p w14:paraId="57A67E0D" w14:textId="77777777" w:rsidR="00D70D43" w:rsidRDefault="00D70D43" w:rsidP="00D70D43">
      <w:pPr>
        <w:pStyle w:val="ListParagraph"/>
        <w:rPr>
          <w:rFonts w:eastAsia="Times New Roman" w:cstheme="minorHAnsi"/>
          <w:b/>
        </w:rPr>
      </w:pPr>
    </w:p>
    <w:p w14:paraId="293EA12D"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24296B">
        <w:rPr>
          <w:rFonts w:eastAsia="Times New Roman" w:cstheme="minorHAnsi"/>
          <w:b/>
        </w:rPr>
        <w:t>Sector Strategies and Policies</w:t>
      </w:r>
      <w:r w:rsidRPr="0024296B">
        <w:rPr>
          <w:rFonts w:eastAsia="Times New Roman" w:cstheme="minorHAnsi"/>
        </w:rPr>
        <w:t xml:space="preserve"> risk is rated Moderate and will be mitigated via the coordination among sectors, and the implementation of activities based on the developed </w:t>
      </w:r>
      <w:proofErr w:type="spellStart"/>
      <w:r w:rsidRPr="0024296B">
        <w:rPr>
          <w:rFonts w:eastAsia="Times New Roman" w:cstheme="minorHAnsi"/>
        </w:rPr>
        <w:t>MoUs</w:t>
      </w:r>
      <w:proofErr w:type="spellEnd"/>
      <w:r w:rsidRPr="0024296B">
        <w:rPr>
          <w:rFonts w:eastAsia="Times New Roman" w:cstheme="minorHAnsi"/>
        </w:rPr>
        <w:t xml:space="preserve"> between regulatory agencies. In addition, this risk will be mitigated by implementing Component 2 activities such as developed strategies to comply with Minamata Convention on Mercury</w:t>
      </w:r>
      <w:r>
        <w:rPr>
          <w:rFonts w:eastAsia="Times New Roman" w:cstheme="minorHAnsi"/>
        </w:rPr>
        <w:t>.</w:t>
      </w:r>
    </w:p>
    <w:p w14:paraId="62B9F6C4" w14:textId="77777777" w:rsidR="00D70D43" w:rsidRDefault="00D70D43" w:rsidP="00D70D43">
      <w:pPr>
        <w:pStyle w:val="ListParagraph"/>
        <w:rPr>
          <w:rFonts w:eastAsia="Times New Roman" w:cstheme="minorHAnsi"/>
          <w:b/>
        </w:rPr>
      </w:pPr>
    </w:p>
    <w:p w14:paraId="133C989E"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B0A77">
        <w:rPr>
          <w:rFonts w:eastAsia="Times New Roman" w:cstheme="minorHAnsi"/>
          <w:b/>
        </w:rPr>
        <w:t>Institutional Capacity for Implementation and Sustainability</w:t>
      </w:r>
      <w:r w:rsidRPr="009B0A77">
        <w:rPr>
          <w:rFonts w:eastAsia="Times New Roman" w:cstheme="minorHAnsi"/>
        </w:rPr>
        <w:t xml:space="preserve"> Risk is rated Substantial and will be mitigated through capacity building and policy development activities under Components 1, 2 and 3 focused on identification of key environment and health risks; establish feasibility and improve monitoring and reporting of environmental quality of the contaminated areas. Furthermore, the enhanced institutional capacity to monitor, enforce and provisional of extension services will help in mitigating this risk.  </w:t>
      </w:r>
    </w:p>
    <w:p w14:paraId="16B7AFF4" w14:textId="77777777" w:rsidR="00D70D43" w:rsidRDefault="00D70D43" w:rsidP="00D70D43">
      <w:pPr>
        <w:pStyle w:val="ListParagraph"/>
        <w:rPr>
          <w:rFonts w:eastAsia="Times New Roman" w:cstheme="minorHAnsi"/>
          <w:b/>
        </w:rPr>
      </w:pPr>
    </w:p>
    <w:p w14:paraId="1FE5F337"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B0A77">
        <w:rPr>
          <w:rFonts w:eastAsia="Times New Roman" w:cstheme="minorHAnsi"/>
          <w:b/>
        </w:rPr>
        <w:t>Environment and Social risk</w:t>
      </w:r>
      <w:r w:rsidRPr="009B0A77">
        <w:rPr>
          <w:rFonts w:eastAsia="Times New Roman" w:cstheme="minorHAnsi"/>
        </w:rPr>
        <w:t xml:space="preserve"> </w:t>
      </w:r>
      <w:proofErr w:type="gramStart"/>
      <w:r w:rsidRPr="009B0A77">
        <w:rPr>
          <w:rFonts w:eastAsia="Times New Roman" w:cstheme="minorHAnsi"/>
        </w:rPr>
        <w:t>is</w:t>
      </w:r>
      <w:proofErr w:type="gramEnd"/>
      <w:r w:rsidRPr="009B0A77">
        <w:rPr>
          <w:rFonts w:eastAsia="Times New Roman" w:cstheme="minorHAnsi"/>
        </w:rPr>
        <w:t xml:space="preserve"> rated Substantial and will be mitigated by Component 1 capacity building activities and Component 2 enhanced legal framework and Component 3 through screening mechanism for selection of investments in pilot activities including research on alternative gold extraction technologies to be financed under the project. This risk will also be mitigated by the implementation of the mitigation measures recommended in the environmental assessment report.</w:t>
      </w:r>
    </w:p>
    <w:p w14:paraId="53B05B12" w14:textId="77777777" w:rsidR="00D70D43" w:rsidRDefault="00D70D43" w:rsidP="00D70D43">
      <w:pPr>
        <w:pStyle w:val="ListParagraph"/>
        <w:rPr>
          <w:rFonts w:eastAsia="Times New Roman" w:cstheme="minorHAnsi"/>
          <w:b/>
        </w:rPr>
      </w:pPr>
    </w:p>
    <w:p w14:paraId="2FA2B66E"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9B0A77">
        <w:rPr>
          <w:rFonts w:eastAsia="Times New Roman" w:cstheme="minorHAnsi"/>
          <w:b/>
        </w:rPr>
        <w:t>Stakeholders risk</w:t>
      </w:r>
      <w:r w:rsidRPr="009B0A77">
        <w:rPr>
          <w:rFonts w:eastAsia="Times New Roman" w:cstheme="minorHAnsi"/>
        </w:rPr>
        <w:t xml:space="preserve"> is rated Moderate, as the proposal recognizes that there is already established collaboration mechanisms among key stakeholders on dealing with environmental matters related to ASGM. The Environmental Management Act, 2004, for instance provides for the involvement of key stakeholders in the review and monitoring of mining projects. The established level of achievement might not be reached due to limited resources and some of the stakeholders might not be reached for consultation all the time. The developed </w:t>
      </w:r>
      <w:proofErr w:type="spellStart"/>
      <w:r w:rsidRPr="009B0A77">
        <w:rPr>
          <w:rFonts w:eastAsia="Times New Roman" w:cstheme="minorHAnsi"/>
        </w:rPr>
        <w:t>MoUs</w:t>
      </w:r>
      <w:proofErr w:type="spellEnd"/>
      <w:r w:rsidRPr="009B0A77">
        <w:rPr>
          <w:rFonts w:eastAsia="Times New Roman" w:cstheme="minorHAnsi"/>
        </w:rPr>
        <w:t xml:space="preserve"> among regulatory institutions will help to mitigate this risk. </w:t>
      </w:r>
    </w:p>
    <w:p w14:paraId="103D5B3A" w14:textId="77777777" w:rsidR="00D70D43" w:rsidRDefault="00D70D43" w:rsidP="00D70D43">
      <w:pPr>
        <w:pStyle w:val="ListParagraph"/>
        <w:rPr>
          <w:rFonts w:eastAsia="Times New Roman" w:cstheme="minorHAnsi"/>
          <w:b/>
        </w:rPr>
      </w:pPr>
    </w:p>
    <w:p w14:paraId="1CE17B91"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F83C8F">
        <w:rPr>
          <w:rFonts w:eastAsia="Times New Roman" w:cstheme="minorHAnsi"/>
          <w:b/>
        </w:rPr>
        <w:t xml:space="preserve">Financial management </w:t>
      </w:r>
      <w:r w:rsidRPr="00F83C8F">
        <w:rPr>
          <w:rFonts w:eastAsia="Times New Roman" w:cstheme="minorHAnsi"/>
        </w:rPr>
        <w:t xml:space="preserve">risk is rated as Moderate. There are adequate financial management systems and arrangement established for project implementation. NEMC has qualified staff with experience in implementing other IDA projects namely; Lower Kihansi Environmental Management Project (LKEMP I &amp;II), Kihansi Catchment Conservation and Management Project (KCCMP) and African Stockpile Project (ASP). Unqualified (Clean) audit reports have been issued for the above projects throughout their life cycle. Mitigation measures will include the use of advances disbursement method and will replenish funds and document expenses by means of quarterly IFRs. The disbursement letter will specify more details of disbursement arrangements including designated accounts.  The National Audit Office will audit the project accounts based on terms of reference to be agreed with the Bank.  The project’s audited financial </w:t>
      </w:r>
      <w:r w:rsidRPr="00F83C8F">
        <w:rPr>
          <w:rFonts w:eastAsia="Times New Roman" w:cstheme="minorHAnsi"/>
        </w:rPr>
        <w:lastRenderedPageBreak/>
        <w:t>statements will be prepared using International Public Sector Accounting Standards (IPSAS) and audits will be conducted in accordance with International Standards on Audits (ISAs). NEMC Internal Audit Unit will include in its workplan internal audit of the project activities with the purpose of adding value to project governance and internal control systems.</w:t>
      </w:r>
    </w:p>
    <w:p w14:paraId="114E25B2" w14:textId="77777777" w:rsidR="00D70D43" w:rsidRDefault="00D70D43" w:rsidP="00D70D43">
      <w:pPr>
        <w:ind w:left="3"/>
        <w:jc w:val="both"/>
        <w:rPr>
          <w:rFonts w:eastAsia="Times New Roman" w:cstheme="minorHAnsi"/>
        </w:rPr>
      </w:pPr>
    </w:p>
    <w:p w14:paraId="7E08E418" w14:textId="77777777" w:rsidR="00D70D43" w:rsidRPr="00E713A9" w:rsidRDefault="00D70D43" w:rsidP="00D70D43">
      <w:pPr>
        <w:ind w:left="3"/>
        <w:jc w:val="both"/>
        <w:rPr>
          <w:rFonts w:eastAsia="Times New Roman" w:cstheme="minorHAnsi"/>
        </w:rPr>
      </w:pPr>
    </w:p>
    <w:p w14:paraId="36236308"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713A9">
        <w:rPr>
          <w:rFonts w:eastAsia="Times New Roman" w:cstheme="minorHAnsi"/>
          <w:b/>
        </w:rPr>
        <w:t xml:space="preserve">Financial Management and Disbursement Arrangements </w:t>
      </w:r>
    </w:p>
    <w:p w14:paraId="069AFC8E" w14:textId="77777777" w:rsidR="00D70D43" w:rsidRDefault="00D70D43" w:rsidP="00D70D43">
      <w:pPr>
        <w:ind w:left="3"/>
        <w:jc w:val="both"/>
        <w:rPr>
          <w:rFonts w:eastAsia="Times New Roman" w:cstheme="minorHAnsi"/>
        </w:rPr>
      </w:pPr>
    </w:p>
    <w:p w14:paraId="02D7947A"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713A9">
        <w:rPr>
          <w:rFonts w:eastAsia="Times New Roman" w:cstheme="minorHAnsi"/>
        </w:rPr>
        <w:t xml:space="preserve">The Financial Management (FM) assessment for the project was conducted in accordance with the financial management manual for World Bank financed investment operations and revealed that the implementing agency (NEMC) has adequate accounting capacity to manage the project. NEMC has in place FM arrangements (budgeting, accounting, internal control, financial reporting, and auditing systems) which meet the Bank’s minimum requirements for project FM arrangement as per OP/BP 10.02. NEMC has previous experience managing World Bank supported projects, including the previous IDA Credit for LKEMP GEF grant for Africa Stockpiles Project (ASP), the ongoing Kihansi Catchment Conservation and Management Project (KCCMP), and other projects funded by UNDP, DANIDA, UNEP, and UNESCO. </w:t>
      </w:r>
    </w:p>
    <w:p w14:paraId="2367CB56" w14:textId="77777777" w:rsidR="00D70D43" w:rsidRPr="00E6148B" w:rsidRDefault="00D70D43" w:rsidP="00D70D43">
      <w:pPr>
        <w:rPr>
          <w:rFonts w:eastAsia="Times New Roman" w:cstheme="minorHAnsi"/>
        </w:rPr>
      </w:pPr>
    </w:p>
    <w:p w14:paraId="5FF072DE"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6148B">
        <w:rPr>
          <w:rFonts w:eastAsia="Times New Roman" w:cstheme="minorHAnsi"/>
        </w:rPr>
        <w:t>Unqualified (Clean) audit reports have been issued for the above projects throughout their life cycles. This project will mostly use advances, replenish funds, and document expenses by means of monthly statements of expenditure (SOEs). The disbursement letter will specify more details of disbursement arrangements, including designated accounts. The project will be required to prepare and submit unaudited interim financial reports (IFRs) within forty-five days after the end of each calendar quarter.  The National Audit Office will audit project accounts based on terms of reference to be agreed with the Bank. The project’s audited financial statements will be prepared using International Public Sector Accounting Standards (IPSASs) and audits will be conducted in accordance with International Standards on Audits (ISAs). The audited financial statements will be required to be submitted to the Bank within six months from the end of the fiscal year.</w:t>
      </w:r>
    </w:p>
    <w:p w14:paraId="26738A36" w14:textId="77777777" w:rsidR="00D70D43" w:rsidRDefault="00D70D43" w:rsidP="00D70D43">
      <w:pPr>
        <w:pStyle w:val="ListParagraph"/>
        <w:rPr>
          <w:rFonts w:eastAsia="Times New Roman" w:cstheme="minorHAnsi"/>
          <w:b/>
        </w:rPr>
      </w:pPr>
    </w:p>
    <w:p w14:paraId="398A121C"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6148B">
        <w:rPr>
          <w:rFonts w:eastAsia="Times New Roman" w:cstheme="minorHAnsi"/>
          <w:b/>
        </w:rPr>
        <w:t>FM Implementation Arrangements.</w:t>
      </w:r>
      <w:r w:rsidRPr="00E6148B">
        <w:rPr>
          <w:rFonts w:eastAsia="Times New Roman" w:cstheme="minorHAnsi"/>
        </w:rPr>
        <w:t xml:space="preserve"> NEMC will be the overall implementing agency responsible for financial management of the project. The PCU under NEMC maintains the financial accounts and provides FM support to World Bank projects and hence will be responsible for the fiduciary aspects of this project. The PCU is headed by a Program Manager. </w:t>
      </w:r>
    </w:p>
    <w:p w14:paraId="00E58382" w14:textId="77777777" w:rsidR="00D70D43" w:rsidRDefault="00D70D43" w:rsidP="00D70D43">
      <w:pPr>
        <w:pStyle w:val="ListParagraph"/>
        <w:rPr>
          <w:rFonts w:eastAsia="Times New Roman" w:cstheme="minorHAnsi"/>
          <w:b/>
        </w:rPr>
      </w:pPr>
    </w:p>
    <w:p w14:paraId="7FF2C2B4"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6148B">
        <w:rPr>
          <w:rFonts w:eastAsia="Times New Roman" w:cstheme="minorHAnsi"/>
          <w:b/>
        </w:rPr>
        <w:t>Planning and Budgeting</w:t>
      </w:r>
      <w:r w:rsidRPr="00E6148B">
        <w:rPr>
          <w:rFonts w:eastAsia="Times New Roman" w:cstheme="minorHAnsi"/>
          <w:i/>
        </w:rPr>
        <w:t>.</w:t>
      </w:r>
      <w:r w:rsidRPr="00E6148B">
        <w:rPr>
          <w:rFonts w:eastAsia="Times New Roman" w:cstheme="minorHAnsi"/>
        </w:rPr>
        <w:t xml:space="preserve"> Preparation of the Annual Work Plans and Budgets (AWPB) will be participatory and based on the Medium-Term Expenditure Framework (MTEF). Budget preparations starts on December every year and scrutinization is completed by the end of February. Thereafter budget is submitted to Parliament for endorsement and approval. Budgets are approved before the new financial year begins.  The project AWPB will be submitted to World Bank by 30</w:t>
      </w:r>
      <w:r w:rsidRPr="00E6148B">
        <w:rPr>
          <w:rFonts w:eastAsia="Times New Roman" w:cstheme="minorHAnsi"/>
          <w:vertAlign w:val="superscript"/>
        </w:rPr>
        <w:t>th</w:t>
      </w:r>
      <w:r w:rsidRPr="00E6148B">
        <w:rPr>
          <w:rFonts w:eastAsia="Times New Roman" w:cstheme="minorHAnsi"/>
        </w:rPr>
        <w:t xml:space="preserve"> June each year. For project purpose, budget implementation progress will be monitored during project implementation using unaudited interim financial reports (IFRs). NEMC is staffed with competent persons to carry out the preparation, review, and consolidation of the annual work plans and budget. NEMC will submit the Project reports for each calendar semester along with the annual work plans and budgets to the World Bank. </w:t>
      </w:r>
    </w:p>
    <w:p w14:paraId="1F24613D" w14:textId="77777777" w:rsidR="00D70D43" w:rsidRDefault="00D70D43" w:rsidP="00D70D43">
      <w:pPr>
        <w:pStyle w:val="ListParagraph"/>
        <w:rPr>
          <w:rFonts w:eastAsia="Times New Roman" w:cstheme="minorHAnsi"/>
          <w:b/>
        </w:rPr>
      </w:pPr>
    </w:p>
    <w:p w14:paraId="51B32B1D"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2781C">
        <w:rPr>
          <w:rFonts w:eastAsia="Times New Roman" w:cstheme="minorHAnsi"/>
          <w:b/>
        </w:rPr>
        <w:t>Accounting arrangements.</w:t>
      </w:r>
      <w:r w:rsidRPr="0052781C">
        <w:rPr>
          <w:rFonts w:eastAsia="Times New Roman" w:cstheme="minorHAnsi"/>
        </w:rPr>
        <w:t xml:space="preserve"> The Project will maintain adequate financial records in accordance with accepted international accounting standards and practices and in accordance to the NEMC Financial Management Manual, which documents the accounting policies and procedures. This manual was reviewed and found satisfactory. It will use Microsoft Dynamics Navision 2016 Version W1 computerized accounting systems to maintain projects. The books of accounts to be maintained specifically for the project will include: </w:t>
      </w:r>
      <w:proofErr w:type="gramStart"/>
      <w:r w:rsidRPr="0052781C">
        <w:rPr>
          <w:rFonts w:eastAsia="Times New Roman" w:cstheme="minorHAnsi"/>
        </w:rPr>
        <w:t>a</w:t>
      </w:r>
      <w:proofErr w:type="gramEnd"/>
      <w:r w:rsidRPr="0052781C">
        <w:rPr>
          <w:rFonts w:eastAsia="Times New Roman" w:cstheme="minorHAnsi"/>
        </w:rPr>
        <w:t xml:space="preserve"> Cash Book, ledgers, journals, fixed asset register, and a contracts register. A list of accounts codes (Chart of Accounts) for the project will be drawn and maintained. This will match with the classification of expenditures and sources and application of funds as indicated in the Grant Agreement. The directorate of Finance and Administration is headed by the Director of Finance and Administration who is overall in charge of Project Financial affairs and is assisted by Chief Accountant who is the head of Accounts and Finance department. The department of Accounts and Finance have adequate qualified and experienced accountants who have long experience in managing other IDA projects namely; Lower Kihansi Environmental Management Project (LKEMP) and GEF grant for Africa Stockpiles Project (ASP) and the ongoing Kihansi Catchment Conservation and Management Project (KCCMP) and other projects funded by UNDP, DANIDA, UNEP and UNESCO. Several staff members who are Certified Public Accountants (CPA) holders and Master's in Business Administration (MBA). Overall the accounting arrangements including staffing are adequate to handle this project. </w:t>
      </w:r>
    </w:p>
    <w:p w14:paraId="6189DC16" w14:textId="77777777" w:rsidR="00D70D43" w:rsidRPr="00EF4C5E" w:rsidRDefault="00D70D43" w:rsidP="00D70D43">
      <w:pPr>
        <w:ind w:left="3"/>
        <w:jc w:val="both"/>
        <w:rPr>
          <w:rFonts w:eastAsia="Times New Roman" w:cstheme="minorHAnsi"/>
        </w:rPr>
      </w:pPr>
    </w:p>
    <w:p w14:paraId="00CD2F0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F4C5E">
        <w:rPr>
          <w:rFonts w:eastAsia="Times New Roman" w:cstheme="minorHAnsi"/>
          <w:b/>
        </w:rPr>
        <w:t>Internal Controls.</w:t>
      </w:r>
      <w:r w:rsidRPr="00EF4C5E">
        <w:rPr>
          <w:rFonts w:eastAsia="Times New Roman" w:cstheme="minorHAnsi"/>
        </w:rPr>
        <w:t xml:space="preserve"> Internal control systems of NEMC indicated satisfactory levels of segregation of duties and controls. The internal control systems are documented in the Finance Policies and Procedures Manual and they are adequate for use by this project to ensure funds are utilized for purposes intended. The manual describes the accounting system i.e., major transaction cycles of the project; funds flow processes; accounting records, supporting documents, computer files, chart of accounts; accounting processes from the initiation of a transaction to its inclusion in the financial statements; authorization procedures for transactions; and the financial reporting process used to prepare the financial statements.</w:t>
      </w:r>
    </w:p>
    <w:p w14:paraId="5A92F79D" w14:textId="77777777" w:rsidR="00D70D43" w:rsidRDefault="00D70D43" w:rsidP="00D70D43">
      <w:pPr>
        <w:pStyle w:val="ListParagraph"/>
        <w:rPr>
          <w:rFonts w:eastAsia="Times New Roman" w:cstheme="minorHAnsi"/>
          <w:b/>
        </w:rPr>
      </w:pPr>
    </w:p>
    <w:p w14:paraId="53321F79"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E36F52">
        <w:rPr>
          <w:rFonts w:eastAsia="Times New Roman" w:cstheme="minorHAnsi"/>
          <w:b/>
        </w:rPr>
        <w:t>Internal Audit functions.</w:t>
      </w:r>
      <w:r w:rsidRPr="00E36F52">
        <w:rPr>
          <w:rFonts w:eastAsia="Times New Roman" w:cstheme="minorHAnsi"/>
        </w:rPr>
        <w:t xml:space="preserve"> The NEMC Internal Audit Unit will carry out internal Audit functions with the purpose of adding value by improving operations of the audited project. It will also assist the project management unit and other implementing partners to achieve their objectives through effectively discharging their responsibilities. The audit assurance will be performed objectively and analytically in accordance with International Professional Practice Framework and engage in consultancy and furnishing management with analyses, appraisals, recommendations, and commentaries aimed at identifying avenues for improvement in risk management, control, and governance processes. Project management will</w:t>
      </w:r>
      <w:r w:rsidRPr="00E36F52">
        <w:rPr>
          <w:rFonts w:cstheme="minorHAnsi"/>
        </w:rPr>
        <w:t xml:space="preserve"> </w:t>
      </w:r>
      <w:r w:rsidRPr="00E36F52">
        <w:rPr>
          <w:rFonts w:eastAsia="Times New Roman" w:cstheme="minorHAnsi"/>
        </w:rPr>
        <w:t xml:space="preserve">ensure that internal auditing of the project is included in work plans of the NEMC Internal Audit Unit. The Chief Internal Auditor functionally reports to the Audit Committee and administratively to the Director General.  The unit currently is comprised of two staff who have graduate accounting degrees holders and Internal Audit certification. 2 more staff will be received in the unit by </w:t>
      </w:r>
      <w:proofErr w:type="gramStart"/>
      <w:r w:rsidRPr="00E36F52">
        <w:rPr>
          <w:rFonts w:eastAsia="Times New Roman" w:cstheme="minorHAnsi"/>
        </w:rPr>
        <w:t>July,</w:t>
      </w:r>
      <w:proofErr w:type="gramEnd"/>
      <w:r w:rsidRPr="00E36F52">
        <w:rPr>
          <w:rFonts w:eastAsia="Times New Roman" w:cstheme="minorHAnsi"/>
        </w:rPr>
        <w:t xml:space="preserve"> 2020 who will enhance the capacity of the unit to perform its functions meet required timelines. The unit issues </w:t>
      </w:r>
      <w:proofErr w:type="gramStart"/>
      <w:r w:rsidRPr="00E36F52">
        <w:rPr>
          <w:rFonts w:eastAsia="Times New Roman" w:cstheme="minorHAnsi"/>
        </w:rPr>
        <w:t>reports</w:t>
      </w:r>
      <w:proofErr w:type="gramEnd"/>
      <w:r w:rsidRPr="00E36F52">
        <w:rPr>
          <w:rFonts w:eastAsia="Times New Roman" w:cstheme="minorHAnsi"/>
        </w:rPr>
        <w:t xml:space="preserve"> on a quarterly basis based on their review of internal control systems of the organization. The Audit Committee is in place and reviews internal audit reports and provides directives to management on internal audit recommendations and follow-up of external audit recommendations. Internal audit uses the risk-based audit approach to carry out its work. The audit function uses an International Professional Practices Framework (IPPF) and other guidelines as issued by Institute of Internal Auditors (IIA) and </w:t>
      </w:r>
      <w:r w:rsidRPr="00E36F52">
        <w:rPr>
          <w:rFonts w:eastAsia="Times New Roman" w:cstheme="minorHAnsi"/>
        </w:rPr>
        <w:lastRenderedPageBreak/>
        <w:t xml:space="preserve">Internal Auditor General (IAG) respectively.  </w:t>
      </w:r>
    </w:p>
    <w:p w14:paraId="44EE374E" w14:textId="77777777" w:rsidR="00D70D43" w:rsidRPr="00574100" w:rsidRDefault="00D70D43" w:rsidP="00D70D43">
      <w:pPr>
        <w:ind w:left="3"/>
        <w:jc w:val="both"/>
        <w:rPr>
          <w:rFonts w:eastAsia="Times New Roman" w:cstheme="minorHAnsi"/>
        </w:rPr>
      </w:pPr>
    </w:p>
    <w:p w14:paraId="01CC76B8"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574100">
        <w:rPr>
          <w:rFonts w:eastAsia="Times New Roman" w:cstheme="minorHAnsi"/>
          <w:b/>
        </w:rPr>
        <w:t>Periodic financial reporting.</w:t>
      </w:r>
      <w:r w:rsidRPr="00574100">
        <w:rPr>
          <w:rFonts w:eastAsia="Times New Roman" w:cstheme="minorHAnsi"/>
        </w:rPr>
        <w:t xml:space="preserve"> NEMC will submit quarterly unaudited interim financial reports (IFRs) to the Bank within 45 days after the end of the calendar reporting period. Reports will therefore be expected for the periods ending in March, June, September, and December of every year of the Project’s life. The IFRs should provide quality and timely information to the World Bank, project management, and other stakeholders on the Project’s financial performance. The format of the IFRs will be agreed with the NEMC team during appraisal and before negotiation. The IFRs will include Sources and Uses of Funds Statement, Uses of Funds by Project Activity/Component, and category and Designated Account Activity Statement.</w:t>
      </w:r>
      <w:r w:rsidRPr="00574100">
        <w:rPr>
          <w:rFonts w:eastAsia="Times New Roman" w:cstheme="minorHAnsi"/>
          <w:b/>
        </w:rPr>
        <w:t xml:space="preserve"> </w:t>
      </w:r>
      <w:r w:rsidRPr="00574100">
        <w:rPr>
          <w:rFonts w:eastAsia="Times New Roman" w:cstheme="minorHAnsi"/>
        </w:rPr>
        <w:t>The financial statements should be prepared in accordance with International Public-Sector Accounting Standards (IPSAS) Cash Basis of Accounting. The Financing Agreement will require the submission of audited financial statements to the Bank within six months after the financial year ends.  These Financial Statements will be comprised of: (i) a Statement of Receipts and Payments that recognizes all cash receipts, cash payments, and cash balances controlled by the entity; and separately identify payments by third parties on behalf of the entity; (ii) a Statement of Financial Position as at the end of the financial year showing all the assets and liabilities of the project; (iii) the Accounting Policies Adopted and Explanatory Notes. The explanatory notes should be presented in a systematic manner with items on the Statement of Cash Receipts and Payments being cross referenced to any related information in the notes. Examples of this information include a summary of fixed assets by category of assets, and a summary of SOE Withdrawal Schedule, listing individual withdrawal applications; (iv) Comparison of Budget and Actual Amounts. The comparison will include original and final budget amounts, comparable actual amounts by expenditure category and explanations for material/significant differences between budget and actual expenditures; and (v) a Management Assertion that Bank funds have been expended in accordance with the intended purposes as specified in the relevant World Bank legal agreement.</w:t>
      </w:r>
    </w:p>
    <w:p w14:paraId="1BF319FB" w14:textId="77777777" w:rsidR="00D70D43" w:rsidRPr="00461401" w:rsidRDefault="00D70D43" w:rsidP="00D70D43">
      <w:pPr>
        <w:ind w:left="3"/>
        <w:jc w:val="both"/>
        <w:rPr>
          <w:rFonts w:eastAsia="Times New Roman" w:cstheme="minorHAnsi"/>
        </w:rPr>
      </w:pPr>
    </w:p>
    <w:p w14:paraId="5838814F"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461401">
        <w:rPr>
          <w:rFonts w:eastAsia="Times New Roman" w:cstheme="minorHAnsi"/>
          <w:b/>
        </w:rPr>
        <w:t>External Audit Arrangements.</w:t>
      </w:r>
      <w:r w:rsidRPr="00461401">
        <w:rPr>
          <w:rFonts w:eastAsia="Times New Roman" w:cstheme="minorHAnsi"/>
        </w:rPr>
        <w:t xml:space="preserve"> The Controller and Auditor General (CAG) is primarily responsible for auditing of all government projects. In some cases, at the discretion of the CAG, the audit may be subcontracted to a firm of private auditors, with the final report being issued by the Auditor General, based on tests carried out by the subcontracted firm.  The private firms to be sub-contracted should be among those that are acceptable to IDA.  In case the audit is subcontracted to a firm of private auditors, IDA funding may be used to pay the cost of the audit. Audits will have to be done in accordance with International Standards on Auditing. The external audit terms of reference will be discussed during appraisal mission and subsequently be agreed upon during negotiations. The audit report together with the management letter will be submitted to the Bank not later than six months after the end of the financial year. NEMC is required to disclose the audited financial statements in a manner acceptable to the Bank. Following the Bank’s formal receipt of the audit report from NEMC, the World Bank will make them available to the public in accordance with The World Bank Policy on Access to Information. </w:t>
      </w:r>
    </w:p>
    <w:p w14:paraId="0AC59D5A" w14:textId="77777777" w:rsidR="00D70D43" w:rsidRPr="00794462" w:rsidRDefault="00D70D43" w:rsidP="00D70D43">
      <w:pPr>
        <w:ind w:left="3"/>
        <w:jc w:val="both"/>
        <w:rPr>
          <w:rFonts w:eastAsia="Times New Roman" w:cstheme="minorHAnsi"/>
        </w:rPr>
      </w:pPr>
    </w:p>
    <w:p w14:paraId="5A323D84" w14:textId="77777777" w:rsidR="00D70D43"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794462">
        <w:rPr>
          <w:rFonts w:eastAsia="Times New Roman" w:cstheme="minorHAnsi"/>
          <w:b/>
        </w:rPr>
        <w:t>Funds Flow Arrangements.</w:t>
      </w:r>
      <w:r w:rsidRPr="00794462">
        <w:rPr>
          <w:rFonts w:eastAsia="Times New Roman" w:cstheme="minorHAnsi"/>
          <w:i/>
        </w:rPr>
        <w:t xml:space="preserve"> </w:t>
      </w:r>
      <w:r w:rsidRPr="00794462">
        <w:rPr>
          <w:rFonts w:eastAsia="Times New Roman" w:cstheme="minorHAnsi"/>
        </w:rPr>
        <w:t xml:space="preserve">The project will maintain two sets of bank accounts: (a) a US dollar Designated Account and (b) a Tanzania Shilling (TZS) project bank account for purposes of implementing the project in Bank of Tanzania (BOT). Transfers from IDA credit will be made into the Designated Account from where US dollars payments will be made. Transfers will also be made from the Designated Account to the TZS project account primarily to meet transactions in TZS. The diagram below shows the funds flow arrangement. The project will initially submit a cash flow forecast projection for six months to receive the </w:t>
      </w:r>
      <w:r w:rsidRPr="00794462">
        <w:rPr>
          <w:rFonts w:eastAsia="Times New Roman" w:cstheme="minorHAnsi"/>
        </w:rPr>
        <w:lastRenderedPageBreak/>
        <w:t>initial deposit in the US dollar designated bank account. In addition, once project is approved, it will be registered to D-Fund Management Information System (Direct to Project funds) hosted by Ministry of Finance and Planning (MOFP) where records of all issues pertaining to project activities, budget, receipts and payments of funds from BOT designated account will be maintained. Withdrawal of funds from WB client connection will be endorsed by MOFP and use of funds from designated account at BOT will obtain approval from MOFP.</w:t>
      </w:r>
    </w:p>
    <w:p w14:paraId="546ED728" w14:textId="77777777" w:rsidR="00D70D43" w:rsidRPr="006845FC" w:rsidRDefault="00D70D43" w:rsidP="00D70D43">
      <w:pPr>
        <w:ind w:left="3"/>
        <w:jc w:val="both"/>
        <w:rPr>
          <w:rFonts w:eastAsia="Times New Roman" w:cstheme="minorHAnsi"/>
        </w:rPr>
      </w:pPr>
    </w:p>
    <w:p w14:paraId="3B40EA14" w14:textId="77777777" w:rsidR="00D70D43" w:rsidRPr="006845FC" w:rsidRDefault="00D70D43" w:rsidP="002E38A2">
      <w:pPr>
        <w:widowControl w:val="0"/>
        <w:numPr>
          <w:ilvl w:val="0"/>
          <w:numId w:val="10"/>
        </w:numPr>
        <w:autoSpaceDE w:val="0"/>
        <w:autoSpaceDN w:val="0"/>
        <w:adjustRightInd w:val="0"/>
        <w:spacing w:after="0" w:line="240" w:lineRule="auto"/>
        <w:jc w:val="both"/>
        <w:rPr>
          <w:rFonts w:eastAsia="Times New Roman" w:cstheme="minorHAnsi"/>
        </w:rPr>
      </w:pPr>
      <w:r w:rsidRPr="006845FC">
        <w:rPr>
          <w:rFonts w:eastAsia="Times New Roman" w:cstheme="minorHAnsi"/>
          <w:b/>
        </w:rPr>
        <w:t>Disbursement Arrangements.</w:t>
      </w:r>
      <w:r w:rsidRPr="006845FC">
        <w:rPr>
          <w:rFonts w:eastAsia="Times New Roman" w:cstheme="minorHAnsi"/>
        </w:rPr>
        <w:t xml:space="preserve"> The project will use the SOE disbursement method. It will initially submit a cash flow forecast projection for 6 months to receive the initial advance/deposit in the designated bank account. Subsequently, withdrawal requests will be made according to project need on a monthly basis. Apart from the Advance method of payment described above, reimbursements can be requested from the Bank for eligible costs incurred by NEMC. The third method is the direct payment that may be used for payments to contractors or service providers upon recommendations of their satisfactory performance by the project authorized officials. Payments may also be made to the commercial bank for expenditures against IDA special commitments covering the commercial bank’s Letter of Credit. Details in relation to these disbursement methods will be documented in the disbursement letter. If ineligible expenditures are found to have been made from the designated and/or operating bank accounts, NEMC will be obligated to refund the same. If the designated account remains inactive for more than six months, the project may be requested to refund to IDA amounts advanced to the designated account. </w:t>
      </w:r>
    </w:p>
    <w:p w14:paraId="4460E538" w14:textId="77777777" w:rsidR="00D70D43" w:rsidRPr="003C1B4A" w:rsidRDefault="00D70D43" w:rsidP="00D70D43">
      <w:pPr>
        <w:spacing w:before="120"/>
        <w:ind w:left="3" w:right="-432"/>
        <w:contextualSpacing/>
        <w:mirrorIndents/>
        <w:jc w:val="both"/>
        <w:rPr>
          <w:rFonts w:eastAsia="Times New Roman" w:cstheme="minorHAnsi"/>
        </w:rPr>
      </w:pPr>
    </w:p>
    <w:p w14:paraId="54467B05" w14:textId="77777777" w:rsidR="00D70D43" w:rsidRDefault="00D70D43" w:rsidP="00D70D43">
      <w:pPr>
        <w:spacing w:before="120"/>
        <w:ind w:left="3" w:right="-432"/>
        <w:contextualSpacing/>
        <w:mirrorIndents/>
        <w:jc w:val="center"/>
        <w:rPr>
          <w:rFonts w:eastAsia="Times New Roman" w:cstheme="minorHAnsi"/>
        </w:rPr>
      </w:pPr>
      <w:r w:rsidRPr="00141F1F">
        <w:rPr>
          <w:rFonts w:cstheme="minorHAnsi"/>
          <w:noProof/>
        </w:rPr>
        <w:drawing>
          <wp:inline distT="0" distB="0" distL="0" distR="0" wp14:anchorId="33566215" wp14:editId="13FD8AC9">
            <wp:extent cx="4491071" cy="1939925"/>
            <wp:effectExtent l="0" t="0" r="0" b="317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21642" t="13166"/>
                    <a:stretch/>
                  </pic:blipFill>
                  <pic:spPr bwMode="auto">
                    <a:xfrm>
                      <a:off x="0" y="0"/>
                      <a:ext cx="4492094" cy="1940367"/>
                    </a:xfrm>
                    <a:prstGeom prst="rect">
                      <a:avLst/>
                    </a:prstGeom>
                    <a:noFill/>
                    <a:ln>
                      <a:noFill/>
                    </a:ln>
                    <a:extLst>
                      <a:ext uri="{53640926-AAD7-44D8-BBD7-CCE9431645EC}">
                        <a14:shadowObscured xmlns:a14="http://schemas.microsoft.com/office/drawing/2010/main"/>
                      </a:ext>
                    </a:extLst>
                  </pic:spPr>
                </pic:pic>
              </a:graphicData>
            </a:graphic>
          </wp:inline>
        </w:drawing>
      </w:r>
    </w:p>
    <w:p w14:paraId="2EEA5B50" w14:textId="77777777" w:rsidR="00D70D43" w:rsidRDefault="00D70D43" w:rsidP="00D70D43">
      <w:pPr>
        <w:spacing w:before="120"/>
        <w:ind w:left="3" w:right="-432"/>
        <w:contextualSpacing/>
        <w:mirrorIndents/>
        <w:jc w:val="center"/>
        <w:rPr>
          <w:rFonts w:eastAsia="Times New Roman" w:cstheme="minorHAnsi"/>
        </w:rPr>
      </w:pPr>
      <w:r w:rsidRPr="003C1B4A">
        <w:rPr>
          <w:rFonts w:eastAsia="Times New Roman" w:cstheme="minorHAnsi"/>
          <w:b/>
          <w:i/>
        </w:rPr>
        <w:t xml:space="preserve">Figure 2. </w:t>
      </w:r>
      <w:r w:rsidRPr="003C1B4A">
        <w:rPr>
          <w:rFonts w:eastAsia="Times New Roman" w:cstheme="minorHAnsi"/>
          <w:i/>
        </w:rPr>
        <w:t>Diagram showing Funds flow arrangements</w:t>
      </w:r>
    </w:p>
    <w:p w14:paraId="6FBDE680" w14:textId="77777777" w:rsidR="00D70D43" w:rsidRPr="003C1B4A" w:rsidRDefault="00D70D43" w:rsidP="00D70D43">
      <w:pPr>
        <w:spacing w:before="120"/>
        <w:ind w:left="3" w:right="-432"/>
        <w:contextualSpacing/>
        <w:mirrorIndents/>
        <w:jc w:val="both"/>
        <w:rPr>
          <w:rFonts w:eastAsia="Times New Roman" w:cstheme="minorHAnsi"/>
        </w:rPr>
      </w:pPr>
    </w:p>
    <w:p w14:paraId="63409F8E" w14:textId="77777777" w:rsidR="00D70D43" w:rsidRDefault="00D70D43" w:rsidP="00D70D43">
      <w:pPr>
        <w:spacing w:before="120"/>
        <w:ind w:left="3" w:right="-432"/>
        <w:contextualSpacing/>
        <w:mirrorIndents/>
        <w:jc w:val="both"/>
        <w:rPr>
          <w:rFonts w:eastAsia="Times New Roman" w:cstheme="minorHAnsi"/>
        </w:rPr>
      </w:pPr>
      <w:r w:rsidRPr="003C1B4A">
        <w:rPr>
          <w:rFonts w:eastAsia="Times New Roman" w:cstheme="minorHAnsi"/>
          <w:b/>
        </w:rPr>
        <w:t xml:space="preserve">Procurement </w:t>
      </w:r>
    </w:p>
    <w:p w14:paraId="4135E985" w14:textId="77777777" w:rsidR="00D70D43" w:rsidRDefault="00D70D43" w:rsidP="00D70D43">
      <w:pPr>
        <w:spacing w:before="120"/>
        <w:ind w:left="3" w:right="-432"/>
        <w:contextualSpacing/>
        <w:mirrorIndents/>
        <w:jc w:val="both"/>
        <w:rPr>
          <w:rFonts w:eastAsia="Times New Roman" w:cstheme="minorHAnsi"/>
        </w:rPr>
      </w:pPr>
    </w:p>
    <w:p w14:paraId="4C4C727A" w14:textId="77777777" w:rsidR="00D70D43" w:rsidRPr="003C1B4A" w:rsidRDefault="00D70D43" w:rsidP="002E38A2">
      <w:pPr>
        <w:numPr>
          <w:ilvl w:val="0"/>
          <w:numId w:val="10"/>
        </w:numPr>
        <w:spacing w:before="120"/>
        <w:ind w:right="-432"/>
        <w:contextualSpacing/>
        <w:mirrorIndents/>
        <w:jc w:val="both"/>
        <w:rPr>
          <w:rFonts w:eastAsia="Times New Roman" w:cstheme="minorHAnsi"/>
        </w:rPr>
      </w:pPr>
      <w:r w:rsidRPr="003C1B4A">
        <w:rPr>
          <w:rFonts w:eastAsia="MS Mincho" w:cstheme="minorHAnsi"/>
          <w:b/>
          <w:bCs/>
          <w:lang w:val="x-none" w:eastAsia="x-none"/>
        </w:rPr>
        <w:t xml:space="preserve">Procurement under the proposed project will be carried out in accordance with the following World Bank procedures: </w:t>
      </w:r>
      <w:r w:rsidRPr="003C1B4A">
        <w:rPr>
          <w:rFonts w:eastAsia="MS Mincho" w:cstheme="minorHAnsi"/>
          <w:bCs/>
          <w:lang w:val="x-none" w:eastAsia="x-none"/>
        </w:rPr>
        <w:t>(a) the World Bank Procurement Regulations for IPF Borrowers (July 2016, revised November 2017 and August 2018), and (b) “Guidelines on Preventing and Combating Fraud and Corruption in Projects Financed by IBRD Loans and IDA Credits and Grants”, dated October 15, 2006 and revised in January, 2011 and revised as of July 1, 2016, and other provisions stipulated in the Financing Agreements.</w:t>
      </w:r>
    </w:p>
    <w:p w14:paraId="2BD08006" w14:textId="77777777" w:rsidR="00D70D43" w:rsidRPr="003C1B4A" w:rsidRDefault="00D70D43" w:rsidP="00D70D43">
      <w:pPr>
        <w:spacing w:before="120"/>
        <w:ind w:left="3" w:right="-432"/>
        <w:contextualSpacing/>
        <w:mirrorIndents/>
        <w:jc w:val="both"/>
        <w:rPr>
          <w:rFonts w:eastAsia="Times New Roman" w:cstheme="minorHAnsi"/>
        </w:rPr>
      </w:pPr>
    </w:p>
    <w:p w14:paraId="78CC2784" w14:textId="77777777" w:rsidR="00D70D43" w:rsidRDefault="00D70D43" w:rsidP="002E38A2">
      <w:pPr>
        <w:numPr>
          <w:ilvl w:val="0"/>
          <w:numId w:val="10"/>
        </w:numPr>
        <w:spacing w:before="120"/>
        <w:ind w:right="-432"/>
        <w:contextualSpacing/>
        <w:mirrorIndents/>
        <w:jc w:val="both"/>
        <w:rPr>
          <w:rFonts w:eastAsia="Times New Roman" w:cstheme="minorHAnsi"/>
        </w:rPr>
      </w:pPr>
      <w:r w:rsidRPr="003C1B4A">
        <w:rPr>
          <w:rFonts w:eastAsia="MS Mincho" w:cstheme="minorHAnsi"/>
          <w:b/>
          <w:lang w:val="x-none" w:eastAsia="x-none"/>
        </w:rPr>
        <w:t>PPSD and Procurement Plan:</w:t>
      </w:r>
      <w:r w:rsidRPr="003C1B4A">
        <w:rPr>
          <w:rFonts w:eastAsia="MS Mincho" w:cstheme="minorHAnsi"/>
          <w:lang w:val="x-none" w:eastAsia="x-none"/>
        </w:rPr>
        <w:t xml:space="preserve"> As per the requirement of the Regulations, the IA has prepared a PPSD, based on which the Procurement Plan (PP) for at least the first 18 months of project implementation has been </w:t>
      </w:r>
      <w:r w:rsidRPr="003C1B4A">
        <w:rPr>
          <w:rFonts w:eastAsia="MS Mincho" w:cstheme="minorHAnsi"/>
          <w:lang w:val="x-none" w:eastAsia="x-none"/>
        </w:rPr>
        <w:lastRenderedPageBreak/>
        <w:t>developed. The initial PPs will be confirmed and agreed during the negotiations and eventually will be disclosed on the World Bank’s external website. The PPs will be updated in agreement with the World Bank annually or as required to reflect the project’s actual implementation needs.</w:t>
      </w:r>
    </w:p>
    <w:p w14:paraId="4B14DBC7" w14:textId="77777777" w:rsidR="00D70D43" w:rsidRPr="00564283" w:rsidRDefault="00D70D43" w:rsidP="00D70D43">
      <w:pPr>
        <w:rPr>
          <w:rFonts w:eastAsia="MS Mincho" w:cstheme="minorHAnsi"/>
          <w:b/>
          <w:lang w:val="x-none" w:eastAsia="x-none"/>
        </w:rPr>
      </w:pPr>
    </w:p>
    <w:p w14:paraId="7A403FA0" w14:textId="77777777" w:rsidR="00D70D43" w:rsidRDefault="00D70D43" w:rsidP="002E38A2">
      <w:pPr>
        <w:numPr>
          <w:ilvl w:val="0"/>
          <w:numId w:val="10"/>
        </w:numPr>
        <w:spacing w:before="120"/>
        <w:ind w:right="-432"/>
        <w:contextualSpacing/>
        <w:mirrorIndents/>
        <w:jc w:val="both"/>
        <w:rPr>
          <w:rFonts w:eastAsia="Times New Roman" w:cstheme="minorHAnsi"/>
        </w:rPr>
      </w:pPr>
      <w:r w:rsidRPr="00564283">
        <w:rPr>
          <w:rFonts w:eastAsia="MS Mincho" w:cstheme="minorHAnsi"/>
          <w:b/>
          <w:lang w:val="x-none" w:eastAsia="x-none"/>
        </w:rPr>
        <w:t>Systematic Tracking of Exchanges in Procurement (STEP).</w:t>
      </w:r>
      <w:r w:rsidRPr="00564283">
        <w:rPr>
          <w:rFonts w:eastAsia="MS Mincho" w:cstheme="minorHAnsi"/>
          <w:lang w:val="en-GB" w:eastAsia="x-none"/>
        </w:rPr>
        <w:t xml:space="preserve"> The World Bank’s STEP approach will be used to prepare, clear, and update Procurement Plans and conduct all procurement transactions for all implementing agencies of the Project.</w:t>
      </w:r>
    </w:p>
    <w:p w14:paraId="0DD5D144" w14:textId="77777777" w:rsidR="00D70D43" w:rsidRPr="00564283" w:rsidRDefault="00D70D43" w:rsidP="00D70D43">
      <w:pPr>
        <w:rPr>
          <w:rFonts w:eastAsia="MS Mincho" w:cstheme="minorHAnsi"/>
          <w:b/>
          <w:lang w:val="x-none" w:eastAsia="x-none"/>
        </w:rPr>
      </w:pPr>
    </w:p>
    <w:p w14:paraId="5EC9E628" w14:textId="77777777" w:rsidR="00D70D43" w:rsidRDefault="00D70D43" w:rsidP="002E38A2">
      <w:pPr>
        <w:numPr>
          <w:ilvl w:val="0"/>
          <w:numId w:val="10"/>
        </w:numPr>
        <w:spacing w:before="120"/>
        <w:ind w:right="-432"/>
        <w:contextualSpacing/>
        <w:mirrorIndents/>
        <w:jc w:val="both"/>
        <w:rPr>
          <w:rFonts w:eastAsia="Times New Roman" w:cstheme="minorHAnsi"/>
        </w:rPr>
      </w:pPr>
      <w:r w:rsidRPr="00564283">
        <w:rPr>
          <w:rFonts w:eastAsia="MS Mincho" w:cstheme="minorHAnsi"/>
          <w:b/>
          <w:lang w:val="x-none" w:eastAsia="x-none"/>
        </w:rPr>
        <w:t>Procurement Templates.</w:t>
      </w:r>
      <w:r w:rsidRPr="00564283">
        <w:rPr>
          <w:rFonts w:eastAsia="MS Mincho" w:cstheme="minorHAnsi"/>
          <w:lang w:val="x-none" w:eastAsia="x-none"/>
        </w:rPr>
        <w:t xml:space="preserve"> For international competitive procurement, the borrower shall use the World Bank’s Standard Procurement Documents (SPDs). For procurement involving national competitive Procurement, the Borrower may use its own Procurement Documents, acceptable to the World Bank, subject to country specific exceptions / conditions that may be stipulated in individual textual part of Procurement Plans.</w:t>
      </w:r>
    </w:p>
    <w:p w14:paraId="028F7F2D" w14:textId="77777777" w:rsidR="00D70D43" w:rsidRPr="00564283" w:rsidRDefault="00D70D43" w:rsidP="00D70D43">
      <w:pPr>
        <w:rPr>
          <w:rFonts w:eastAsia="MS Mincho" w:cstheme="minorHAnsi"/>
          <w:b/>
          <w:lang w:val="en-GB" w:eastAsia="x-none"/>
        </w:rPr>
      </w:pPr>
    </w:p>
    <w:p w14:paraId="560E9160" w14:textId="77777777" w:rsidR="00D70D43" w:rsidRPr="008D0415" w:rsidRDefault="00D70D43" w:rsidP="002E38A2">
      <w:pPr>
        <w:numPr>
          <w:ilvl w:val="0"/>
          <w:numId w:val="10"/>
        </w:numPr>
        <w:spacing w:before="120"/>
        <w:ind w:right="-432"/>
        <w:contextualSpacing/>
        <w:mirrorIndents/>
        <w:jc w:val="both"/>
        <w:rPr>
          <w:rFonts w:eastAsia="Times New Roman" w:cstheme="minorHAnsi"/>
        </w:rPr>
      </w:pPr>
      <w:r w:rsidRPr="00564283">
        <w:rPr>
          <w:rFonts w:eastAsia="MS Mincho" w:cstheme="minorHAnsi"/>
          <w:b/>
          <w:lang w:val="en-GB" w:eastAsia="x-none"/>
        </w:rPr>
        <w:t>National Open Competitive Procedures (NOCP)</w:t>
      </w:r>
      <w:r w:rsidRPr="00564283">
        <w:rPr>
          <w:rFonts w:eastAsia="MS Mincho" w:cstheme="minorHAnsi"/>
          <w:lang w:val="en-GB" w:eastAsia="x-none"/>
        </w:rPr>
        <w:t xml:space="preserve">. NOCP may also be used, provided that such procedures are consistent with the following requirements as provided in paragraph 5.4 of the Procurement Regulations: (a) open advertising of the procurement opportunity at the national level; (b) the procurement is open to eligible firms from any country; (c) the request for bids/request for proposals document shall require that bidders/proposers submitting bids/proposals present a signed acceptance at the time of bidding, to be incorporated in any resulting contracts, confirming application of, and compliance with, the World Bank’s Anticorruption Guidelines, including without limitation the World Bank’s right to sanction and the World Bank’s inspection and audit rights; (d) Procurement Documents include provisions, as agreed with the Bank, intended to adequately mitigate against environmental, social (including sexual exploitation and abuse and gender-based violence), health and safety (“ESHS”) risks and impacts; (e) contracts with an appropriate allocation of responsibilities, risks, and liabilities; (f) publication of contract award information; (g) rights for the World Bank to review procurement documentation and activities; (h) an effective complaints handling mechanism; and (i) maintenance of records of the procurement process. If necessary, the World Bank’s SPDs may be used for NOCP, with agreement by the World Bank. </w:t>
      </w:r>
    </w:p>
    <w:p w14:paraId="07EBFA47" w14:textId="77777777" w:rsidR="00D70D43" w:rsidRPr="008D0415" w:rsidRDefault="00D70D43" w:rsidP="00D70D43">
      <w:pPr>
        <w:spacing w:before="120"/>
        <w:ind w:left="3" w:right="-432"/>
        <w:contextualSpacing/>
        <w:mirrorIndents/>
        <w:jc w:val="both"/>
        <w:rPr>
          <w:rFonts w:eastAsia="Times New Roman" w:cstheme="minorHAnsi"/>
        </w:rPr>
      </w:pPr>
    </w:p>
    <w:p w14:paraId="02ED3D94" w14:textId="77777777" w:rsidR="00D70D43" w:rsidRDefault="00D70D43" w:rsidP="002E38A2">
      <w:pPr>
        <w:numPr>
          <w:ilvl w:val="0"/>
          <w:numId w:val="10"/>
        </w:numPr>
        <w:spacing w:before="120"/>
        <w:ind w:right="-432"/>
        <w:contextualSpacing/>
        <w:mirrorIndents/>
        <w:jc w:val="both"/>
        <w:rPr>
          <w:rFonts w:eastAsia="Times New Roman" w:cstheme="minorHAnsi"/>
        </w:rPr>
      </w:pPr>
      <w:r w:rsidRPr="008D0415">
        <w:rPr>
          <w:rFonts w:eastAsia="MS Mincho" w:cstheme="minorHAnsi"/>
          <w:b/>
          <w:lang w:val="en-GB" w:eastAsia="x-none"/>
        </w:rPr>
        <w:t>Other national procurement arrangements (other than NOCP)</w:t>
      </w:r>
      <w:r w:rsidRPr="008D0415">
        <w:rPr>
          <w:rFonts w:eastAsia="MS Mincho" w:cstheme="minorHAnsi"/>
          <w:lang w:val="en-GB" w:eastAsia="x-none"/>
        </w:rPr>
        <w:t xml:space="preserve"> that may be applied by the borrower (such as limited/restricted competitive bidding, request for quotation/shopping, direct contracting), shall be consistent with the World Bank’s core procurement principles set out in paragraph 5.3 of the Regulations and ensure that the World Bank’s Anticorruption Guidelines and Sanctions Framework and contractual remedies set out in its Legal Agreement apply.</w:t>
      </w:r>
    </w:p>
    <w:p w14:paraId="62600AB0" w14:textId="77777777" w:rsidR="00D70D43" w:rsidRPr="008D0415" w:rsidRDefault="00D70D43" w:rsidP="00D70D43">
      <w:pPr>
        <w:rPr>
          <w:rFonts w:eastAsia="MS Mincho" w:cstheme="minorHAnsi"/>
          <w:b/>
          <w:lang w:val="en-GB" w:eastAsia="x-none"/>
        </w:rPr>
      </w:pPr>
    </w:p>
    <w:p w14:paraId="1986FD6D" w14:textId="77777777" w:rsidR="00D70D43" w:rsidRPr="000401F6" w:rsidRDefault="00D70D43" w:rsidP="002E38A2">
      <w:pPr>
        <w:numPr>
          <w:ilvl w:val="0"/>
          <w:numId w:val="10"/>
        </w:numPr>
        <w:spacing w:before="120"/>
        <w:ind w:right="-432"/>
        <w:contextualSpacing/>
        <w:mirrorIndents/>
        <w:jc w:val="both"/>
        <w:rPr>
          <w:rFonts w:eastAsia="Times New Roman" w:cstheme="minorHAnsi"/>
        </w:rPr>
      </w:pPr>
      <w:r w:rsidRPr="008D0415">
        <w:rPr>
          <w:rFonts w:eastAsia="MS Mincho" w:cstheme="minorHAnsi"/>
          <w:b/>
          <w:lang w:val="en-GB" w:eastAsia="x-none"/>
        </w:rPr>
        <w:t>Publication (Advertising).</w:t>
      </w:r>
      <w:r w:rsidRPr="008D0415">
        <w:rPr>
          <w:rFonts w:eastAsia="MS Mincho" w:cstheme="minorHAnsi"/>
          <w:lang w:val="en-GB" w:eastAsia="x-none"/>
        </w:rPr>
        <w:t xml:space="preserve"> The borrower is required to prepare and submit to the World Bank a General Procurement Notice (GPN). The World Bank will arrange for its publication in United Nations Development Business online (UNDB online) and on the World Bank’s external website. Specific Procurement Notices (SPN) for all procurement under International Competitive Procedures and Requests for Expressions of Interest for all consulting services estimated to equivalent to US$300,000 and above shall be published in UNDB online and the World Bank’s external website and at least one newspaper of national circulation in the borrower’s </w:t>
      </w:r>
      <w:r w:rsidRPr="008D0415">
        <w:rPr>
          <w:rFonts w:eastAsia="MS Mincho" w:cstheme="minorHAnsi"/>
          <w:lang w:val="en-GB" w:eastAsia="x-none"/>
        </w:rPr>
        <w:lastRenderedPageBreak/>
        <w:t xml:space="preserve">country, or in the official gazette, or on a widely used website or electronic portal with free national and international access. </w:t>
      </w:r>
    </w:p>
    <w:p w14:paraId="6AB4EFE6" w14:textId="77777777" w:rsidR="00D70D43" w:rsidRPr="000401F6" w:rsidRDefault="00D70D43" w:rsidP="00D70D43">
      <w:pPr>
        <w:rPr>
          <w:rFonts w:eastAsia="MS Mincho" w:cstheme="minorHAnsi"/>
          <w:b/>
          <w:lang w:val="x-none" w:eastAsia="x-none"/>
        </w:rPr>
      </w:pPr>
    </w:p>
    <w:p w14:paraId="3A643853" w14:textId="77777777" w:rsidR="00D70D43" w:rsidRPr="00B30EE2" w:rsidRDefault="00D70D43" w:rsidP="002E38A2">
      <w:pPr>
        <w:numPr>
          <w:ilvl w:val="0"/>
          <w:numId w:val="10"/>
        </w:numPr>
        <w:spacing w:before="120"/>
        <w:ind w:right="-432"/>
        <w:contextualSpacing/>
        <w:mirrorIndents/>
        <w:jc w:val="both"/>
        <w:rPr>
          <w:rFonts w:eastAsia="Times New Roman" w:cstheme="minorHAnsi"/>
        </w:rPr>
      </w:pPr>
      <w:r w:rsidRPr="000401F6">
        <w:rPr>
          <w:rFonts w:eastAsia="MS Mincho" w:cstheme="minorHAnsi"/>
          <w:b/>
          <w:lang w:val="x-none" w:eastAsia="x-none"/>
        </w:rPr>
        <w:t>Public procurement in Tanzania</w:t>
      </w:r>
      <w:r w:rsidRPr="000401F6">
        <w:rPr>
          <w:rFonts w:eastAsia="MS Mincho" w:cstheme="minorHAnsi"/>
          <w:lang w:val="x-none" w:eastAsia="x-none"/>
        </w:rPr>
        <w:t xml:space="preserve"> is governed by the Public Procurement Act, Cap 410 (as amended) and the Public Procurement Regulations, 2013 GN No. 446 of 2013 (as amended in 2016).  Under the new Act, procurement functions remain decentralized to procuring entities with the Public Procurement Regulatory Authority (PPRA) continuing to provide oversight functions for public procurement. In addition, the new Act has maintained the definitions of fraud and corruption with regards to coercive practices, collusive practices, and obstructive practices. </w:t>
      </w:r>
      <w:r w:rsidRPr="000401F6">
        <w:rPr>
          <w:rFonts w:eastAsia="MS Mincho" w:cstheme="minorHAnsi"/>
          <w:bCs/>
          <w:lang w:val="x-none" w:eastAsia="x-none"/>
        </w:rPr>
        <w:t>The new Act has however introduced, among others: (i) mandatory inclusion of local firms and experts in consultancy contracts; (ii) domestic preference to both international and national competitive bidding; (iii) a requirement to set-aside contracts to be used for capacity building of local firms; and (iv) a requirement to set-aside contracts below a set threshold to be awarded to local firms only; (v) Negotiations with the lowest evaluated bidder to reduce price in the case of goods, works and non-consulting services; (vi) fixed budget method for goods, works and non-consulting services;  (vii) established and approved procurement standards by the government.</w:t>
      </w:r>
    </w:p>
    <w:p w14:paraId="31D1A5F7" w14:textId="77777777" w:rsidR="00D70D43" w:rsidRPr="00B30EE2" w:rsidRDefault="00D70D43" w:rsidP="00D70D43">
      <w:pPr>
        <w:spacing w:before="120"/>
        <w:ind w:left="3" w:right="-432"/>
        <w:contextualSpacing/>
        <w:mirrorIndents/>
        <w:jc w:val="both"/>
        <w:rPr>
          <w:rFonts w:eastAsia="Times New Roman" w:cstheme="minorHAnsi"/>
        </w:rPr>
      </w:pPr>
    </w:p>
    <w:p w14:paraId="52D8B817" w14:textId="77777777" w:rsidR="00D70D43" w:rsidRDefault="00D70D43" w:rsidP="002E38A2">
      <w:pPr>
        <w:numPr>
          <w:ilvl w:val="0"/>
          <w:numId w:val="10"/>
        </w:numPr>
        <w:spacing w:before="120"/>
        <w:ind w:right="-432"/>
        <w:contextualSpacing/>
        <w:mirrorIndents/>
        <w:jc w:val="both"/>
        <w:rPr>
          <w:rFonts w:eastAsia="Times New Roman" w:cstheme="minorHAnsi"/>
        </w:rPr>
      </w:pPr>
      <w:r w:rsidRPr="00B30EE2">
        <w:rPr>
          <w:rFonts w:eastAsia="MS Mincho" w:cstheme="minorHAnsi"/>
          <w:b/>
          <w:lang w:val="x-none" w:eastAsia="x-none"/>
        </w:rPr>
        <w:t>The new Act has been reviewed by the World Bank and found to be satisfactory to a large extent, except for the following provisions:</w:t>
      </w:r>
      <w:r w:rsidRPr="00B30EE2">
        <w:rPr>
          <w:rFonts w:eastAsia="MS Mincho" w:cstheme="minorHAnsi"/>
          <w:lang w:val="x-none" w:eastAsia="x-none"/>
        </w:rPr>
        <w:t xml:space="preserve">  (i)  there will be no preference accorded to domestic suppliers and contractors under NCB for goods, non-consulting services, and works under this Project; (ii) there should be no mandatory requirements for inclusion of local experts and firms for the consulting assignments; (iii) negotiations with the lowest evaluated bidder to reduce price in the case of goods, works and non-consulting services where competitive methods have been used shall not be allowed; (iv) the fixed budget method shall not be used for goods, works and non-consulting services; and  (v)</w:t>
      </w:r>
      <w:r w:rsidRPr="00B30EE2">
        <w:rPr>
          <w:rFonts w:eastAsia="Times New Roman" w:cstheme="minorHAnsi"/>
          <w:lang w:val="x-none" w:eastAsia="x-none"/>
        </w:rPr>
        <w:t xml:space="preserve"> procurement standards established and approved by the Government may be used</w:t>
      </w:r>
      <w:r w:rsidRPr="00B30EE2">
        <w:rPr>
          <w:rFonts w:eastAsia="MS Mincho" w:cstheme="minorHAnsi"/>
          <w:lang w:val="x-none" w:eastAsia="x-none"/>
        </w:rPr>
        <w:t>, provided that they are not restrictive</w:t>
      </w:r>
      <w:r w:rsidRPr="00B30EE2">
        <w:rPr>
          <w:rFonts w:eastAsia="Times New Roman" w:cstheme="minorHAnsi"/>
          <w:lang w:val="x-none" w:eastAsia="x-none"/>
        </w:rPr>
        <w:t xml:space="preserve"> </w:t>
      </w:r>
      <w:r w:rsidRPr="00B30EE2">
        <w:rPr>
          <w:rFonts w:eastAsia="MS Mincho" w:cstheme="minorHAnsi"/>
          <w:lang w:val="x-none" w:eastAsia="x-none"/>
        </w:rPr>
        <w:t>. Furthermore, in accordance with paragraph 5.4 of the Procurement Regulations, the following shall be observed: (i) the request for bids/request for proposals document shall require that Bidders/Proposers submitting Bids/Proposals present a signed acceptance at the time of bidding, to be incorporated in any resulting contracts, confirming application of, and compliance with, the World Bank’s Anti-Corruption Guidelines, including without limitation to the Bank’s right to sanction and the Bank’s inspection and audit rights; and (ii) rights for the Bank to review Borrower’s procurement documentation and activities</w:t>
      </w:r>
      <w:r w:rsidRPr="00B30EE2">
        <w:rPr>
          <w:rFonts w:eastAsia="MS Mincho" w:cstheme="minorHAnsi"/>
          <w:bCs/>
          <w:lang w:val="x-none" w:eastAsia="x-none"/>
        </w:rPr>
        <w:t>.</w:t>
      </w:r>
    </w:p>
    <w:p w14:paraId="5F1B2F82" w14:textId="77777777" w:rsidR="00D70D43" w:rsidRPr="00FE067F" w:rsidRDefault="00D70D43" w:rsidP="00D70D43">
      <w:pPr>
        <w:spacing w:before="120"/>
        <w:ind w:left="3" w:right="-432"/>
        <w:contextualSpacing/>
        <w:mirrorIndents/>
        <w:jc w:val="both"/>
        <w:rPr>
          <w:rFonts w:eastAsia="Times New Roman" w:cstheme="minorHAnsi"/>
        </w:rPr>
      </w:pPr>
    </w:p>
    <w:p w14:paraId="30FA704F" w14:textId="77777777" w:rsidR="00D70D43" w:rsidRPr="005009C8" w:rsidRDefault="00D70D43" w:rsidP="002E38A2">
      <w:pPr>
        <w:numPr>
          <w:ilvl w:val="0"/>
          <w:numId w:val="10"/>
        </w:numPr>
        <w:spacing w:before="120"/>
        <w:ind w:right="-432"/>
        <w:contextualSpacing/>
        <w:mirrorIndents/>
        <w:jc w:val="both"/>
        <w:rPr>
          <w:rFonts w:eastAsia="Times New Roman" w:cstheme="minorHAnsi"/>
        </w:rPr>
      </w:pPr>
      <w:r w:rsidRPr="00FE067F">
        <w:rPr>
          <w:rFonts w:eastAsia="MS Mincho" w:cstheme="minorHAnsi"/>
          <w:b/>
          <w:lang w:val="en-GB" w:eastAsia="x-none"/>
        </w:rPr>
        <w:t>Procurement Implementation Arrangements</w:t>
      </w:r>
      <w:r w:rsidRPr="00FE067F">
        <w:rPr>
          <w:rFonts w:eastAsia="MS Mincho" w:cstheme="minorHAnsi"/>
          <w:lang w:val="en-GB" w:eastAsia="x-none"/>
        </w:rPr>
        <w:t xml:space="preserve">. Procurement activities under the Project will be carried out by NEMC as the Implementing Agency. The procurement functions will be mainstreamed in the NEMC’s management structure whereby procurement activities will be managed by Procurement Management Unit (PMU). NEMC’s PMU will be responsible for the day-to-day running of the procurement activities of the project. </w:t>
      </w:r>
    </w:p>
    <w:p w14:paraId="12B357A0" w14:textId="77777777" w:rsidR="00D70D43" w:rsidRPr="005009C8" w:rsidRDefault="00D70D43" w:rsidP="00D70D43">
      <w:pPr>
        <w:rPr>
          <w:rFonts w:eastAsia="MS Mincho" w:cstheme="minorHAnsi"/>
          <w:b/>
          <w:lang w:val="en-GB" w:eastAsia="x-none"/>
        </w:rPr>
      </w:pPr>
    </w:p>
    <w:p w14:paraId="05354F33" w14:textId="04930EE4" w:rsidR="00D70D43" w:rsidRPr="005009C8" w:rsidRDefault="00D70D43" w:rsidP="002E38A2">
      <w:pPr>
        <w:numPr>
          <w:ilvl w:val="0"/>
          <w:numId w:val="10"/>
        </w:numPr>
        <w:spacing w:before="120"/>
        <w:ind w:right="-432"/>
        <w:contextualSpacing/>
        <w:mirrorIndents/>
        <w:jc w:val="both"/>
        <w:rPr>
          <w:rFonts w:eastAsia="Times New Roman" w:cstheme="minorHAnsi"/>
        </w:rPr>
      </w:pPr>
      <w:r w:rsidRPr="005009C8">
        <w:rPr>
          <w:rFonts w:eastAsia="MS Mincho" w:cstheme="minorHAnsi"/>
          <w:b/>
          <w:lang w:val="en-GB" w:eastAsia="x-none"/>
        </w:rPr>
        <w:t>A Procurement Capacity Assessment of NEMC was carried out:</w:t>
      </w:r>
      <w:r w:rsidRPr="005009C8">
        <w:rPr>
          <w:rFonts w:eastAsia="MS Mincho" w:cstheme="minorHAnsi"/>
          <w:lang w:val="en-GB" w:eastAsia="x-none"/>
        </w:rPr>
        <w:t xml:space="preserve"> The assessment reviewed the organizational structure, functions, staff skills and experiences, and adequacy for implementation of the project. NEMC has a good track record of implementing World Bank-financed projects. NEMC has successfully implemented Africa Stockpiles Project (ASP) – P075776 and Lower Kihansi Environmental Management Project (LKEMP) – P073396.  Currently, NEMC is implementing Kihansi Catchment Conversation and Management Project (KCCMP) – </w:t>
      </w:r>
      <w:r w:rsidRPr="005009C8">
        <w:rPr>
          <w:rFonts w:eastAsia="MS Mincho" w:cstheme="minorHAnsi"/>
          <w:lang w:val="en-GB" w:eastAsia="x-none"/>
        </w:rPr>
        <w:lastRenderedPageBreak/>
        <w:t xml:space="preserve">P126361 and Energy Sector Capacity Building Project (ESCBP) – P126875. Assessment revealed that NEMC has established all the necessary organs for adjudicating and managing procurement activities in accordance with the provisions of the PPA and its Regulations. </w:t>
      </w:r>
      <w:r w:rsidRPr="005009C8">
        <w:rPr>
          <w:rFonts w:eastAsia="MS Mincho" w:cstheme="minorHAnsi"/>
          <w:lang w:val="x-none" w:eastAsia="x-none"/>
        </w:rPr>
        <w:t>The PMU of NEMC has a total of three staff including the Head of PMU.</w:t>
      </w:r>
    </w:p>
    <w:p w14:paraId="692C023C" w14:textId="77777777" w:rsidR="00D70D43" w:rsidRPr="005009C8" w:rsidRDefault="00D70D43" w:rsidP="00D70D43">
      <w:pPr>
        <w:rPr>
          <w:rFonts w:eastAsia="MS Mincho" w:cstheme="minorHAnsi"/>
          <w:b/>
          <w:lang w:val="en-GB" w:eastAsia="x-none"/>
        </w:rPr>
      </w:pPr>
    </w:p>
    <w:p w14:paraId="585EA62A" w14:textId="77777777" w:rsidR="00D70D43" w:rsidRPr="00B13D99" w:rsidRDefault="00D70D43" w:rsidP="002E38A2">
      <w:pPr>
        <w:numPr>
          <w:ilvl w:val="0"/>
          <w:numId w:val="10"/>
        </w:numPr>
        <w:spacing w:before="120"/>
        <w:ind w:right="-432"/>
        <w:contextualSpacing/>
        <w:mirrorIndents/>
        <w:jc w:val="both"/>
        <w:rPr>
          <w:rFonts w:eastAsia="Times New Roman" w:cstheme="minorHAnsi"/>
        </w:rPr>
      </w:pPr>
      <w:r w:rsidRPr="005009C8">
        <w:rPr>
          <w:rFonts w:eastAsia="MS Mincho" w:cstheme="minorHAnsi"/>
          <w:b/>
          <w:lang w:val="en-GB" w:eastAsia="x-none"/>
        </w:rPr>
        <w:t xml:space="preserve">The assessment revealed that the Procurement Management Unit </w:t>
      </w:r>
      <w:r w:rsidRPr="005009C8">
        <w:rPr>
          <w:rFonts w:eastAsia="MS Mincho" w:cstheme="minorHAnsi"/>
          <w:lang w:val="en-GB" w:eastAsia="x-none"/>
        </w:rPr>
        <w:t>(i) staff have inadequate experience of managing procurements of high value and complex for goods, works and services contracts in accordance with the Bank’ procurement guidelines/regulations; (ii) inefficiencies in processing procurement activities in terms of delays in preparing terms of reference and specifications, bidding documents and request for proposals and approvals; (iii) inadequate skills in evaluating bids and proposals (iv) inadequate knowledge and skills in contract negotiations and contract management, and (iv) inadequate storage and  records management system. One of the major observations according to PPRA’s Audit Report of 2011 was poor records filing and management syste</w:t>
      </w:r>
      <w:r>
        <w:rPr>
          <w:rFonts w:eastAsia="MS Mincho" w:cstheme="minorHAnsi"/>
          <w:lang w:val="en-GB" w:eastAsia="x-none"/>
        </w:rPr>
        <w:t>m.</w:t>
      </w:r>
    </w:p>
    <w:p w14:paraId="42198874" w14:textId="77777777" w:rsidR="00D70D43" w:rsidRPr="00B13D99" w:rsidRDefault="00D70D43" w:rsidP="00D70D43">
      <w:pPr>
        <w:rPr>
          <w:rFonts w:eastAsia="Times New Roman" w:cstheme="minorHAnsi"/>
          <w:b/>
          <w:lang w:eastAsia="x-none"/>
        </w:rPr>
      </w:pPr>
    </w:p>
    <w:p w14:paraId="689492E5" w14:textId="77777777" w:rsidR="00D70D43" w:rsidRPr="00B13D99" w:rsidRDefault="00D70D43" w:rsidP="002E38A2">
      <w:pPr>
        <w:numPr>
          <w:ilvl w:val="0"/>
          <w:numId w:val="10"/>
        </w:numPr>
        <w:spacing w:before="120"/>
        <w:ind w:right="-432"/>
        <w:contextualSpacing/>
        <w:mirrorIndents/>
        <w:jc w:val="both"/>
        <w:rPr>
          <w:rFonts w:eastAsia="Times New Roman" w:cstheme="minorHAnsi"/>
        </w:rPr>
      </w:pPr>
      <w:r w:rsidRPr="00B13D99">
        <w:rPr>
          <w:rFonts w:eastAsia="Times New Roman" w:cstheme="minorHAnsi"/>
          <w:b/>
          <w:lang w:val="x-none" w:eastAsia="x-none"/>
        </w:rPr>
        <w:t>To address capacity gap and mitigate the risks identified, procurement capacity of NEMC needs to be strengthened.</w:t>
      </w:r>
      <w:r w:rsidRPr="00B13D99">
        <w:rPr>
          <w:rFonts w:eastAsia="Times New Roman" w:cstheme="minorHAnsi"/>
          <w:lang w:val="x-none" w:eastAsia="x-none"/>
        </w:rPr>
        <w:t xml:space="preserve"> To ensure sustainability, NEMC will prepare Capacity Strengthening Plan for PMU staff, Tender Board and User Department, which will articulate areas to be strengthened, capacity strengthening activities to be undertaken and the duration of each activity.</w:t>
      </w:r>
    </w:p>
    <w:p w14:paraId="38284CE1" w14:textId="638BD555" w:rsidR="00D70D43" w:rsidRDefault="00D70D43" w:rsidP="002E38A2">
      <w:pPr>
        <w:numPr>
          <w:ilvl w:val="0"/>
          <w:numId w:val="10"/>
        </w:numPr>
        <w:spacing w:before="120"/>
        <w:ind w:right="-432"/>
        <w:contextualSpacing/>
        <w:mirrorIndents/>
        <w:jc w:val="both"/>
        <w:rPr>
          <w:rFonts w:eastAsia="Times New Roman" w:cstheme="minorHAnsi"/>
        </w:rPr>
      </w:pPr>
      <w:r w:rsidRPr="00B13D99">
        <w:rPr>
          <w:rFonts w:eastAsia="MS Mincho" w:cstheme="minorHAnsi"/>
          <w:b/>
          <w:lang w:val="en-GB" w:eastAsia="x-none"/>
        </w:rPr>
        <w:t>The overall project procurement risk was assessed to be “Substantial”.</w:t>
      </w:r>
      <w:r w:rsidRPr="00B13D99">
        <w:rPr>
          <w:rFonts w:eastAsia="MS Mincho" w:cstheme="minorHAnsi"/>
          <w:lang w:val="en-GB" w:eastAsia="x-none"/>
        </w:rPr>
        <w:t xml:space="preserve"> The risk is reduced to a residual rating of Moderate in view of the mitigation measures proposed in Table X</w:t>
      </w:r>
      <w:r w:rsidR="00351B7A">
        <w:rPr>
          <w:rFonts w:eastAsia="MS Mincho" w:cstheme="minorHAnsi"/>
          <w:lang w:val="en-GB" w:eastAsia="x-none"/>
        </w:rPr>
        <w:t xml:space="preserve"> below</w:t>
      </w:r>
      <w:r w:rsidRPr="00B13D99">
        <w:rPr>
          <w:rFonts w:eastAsia="MS Mincho" w:cstheme="minorHAnsi"/>
          <w:lang w:val="en-GB" w:eastAsia="x-none"/>
        </w:rPr>
        <w:t xml:space="preserve">. </w:t>
      </w:r>
    </w:p>
    <w:p w14:paraId="7D1A1945" w14:textId="77777777" w:rsidR="00D70D43" w:rsidRPr="008F00A0" w:rsidRDefault="00D70D43" w:rsidP="00D70D43">
      <w:pPr>
        <w:rPr>
          <w:rFonts w:eastAsia="Times New Roman" w:cstheme="minorHAnsi"/>
          <w:b/>
          <w:bCs/>
        </w:rPr>
      </w:pPr>
    </w:p>
    <w:p w14:paraId="6D485B7B" w14:textId="7FB0A8EC" w:rsidR="00D70D43" w:rsidRPr="008F00A0" w:rsidRDefault="00D70D43" w:rsidP="00D70D43">
      <w:pPr>
        <w:spacing w:before="120"/>
        <w:ind w:right="-432"/>
        <w:contextualSpacing/>
        <w:mirrorIndents/>
        <w:jc w:val="center"/>
        <w:rPr>
          <w:rFonts w:eastAsia="Times New Roman" w:cstheme="minorHAnsi"/>
        </w:rPr>
      </w:pPr>
      <w:r w:rsidRPr="008F00A0">
        <w:rPr>
          <w:rFonts w:eastAsia="Times New Roman" w:cstheme="minorHAnsi"/>
          <w:b/>
          <w:bCs/>
        </w:rPr>
        <w:t>Table X: Procurement Risks and Mitigation Measures</w:t>
      </w: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2340"/>
        <w:gridCol w:w="3780"/>
        <w:gridCol w:w="1710"/>
        <w:gridCol w:w="1705"/>
      </w:tblGrid>
      <w:tr w:rsidR="00D70D43" w:rsidRPr="00141F1F" w14:paraId="0543796B" w14:textId="77777777" w:rsidTr="007463F5">
        <w:trPr>
          <w:tblHeader/>
        </w:trPr>
        <w:tc>
          <w:tcPr>
            <w:tcW w:w="2340" w:type="dxa"/>
            <w:shd w:val="clear" w:color="auto" w:fill="9CC2E5"/>
            <w:hideMark/>
          </w:tcPr>
          <w:p w14:paraId="0BEA81C9" w14:textId="77777777" w:rsidR="00D70D43" w:rsidRPr="00141F1F" w:rsidRDefault="00D70D43" w:rsidP="007463F5">
            <w:pPr>
              <w:keepNext/>
              <w:spacing w:line="256" w:lineRule="auto"/>
              <w:contextualSpacing/>
              <w:rPr>
                <w:rFonts w:eastAsia="Times New Roman" w:cstheme="minorHAnsi"/>
                <w:b/>
                <w:lang w:val="en-GB"/>
              </w:rPr>
            </w:pPr>
            <w:r w:rsidRPr="00141F1F">
              <w:rPr>
                <w:rFonts w:eastAsia="Times New Roman" w:cstheme="minorHAnsi"/>
                <w:b/>
                <w:lang w:val="en-GB"/>
              </w:rPr>
              <w:lastRenderedPageBreak/>
              <w:t>Risk</w:t>
            </w:r>
          </w:p>
        </w:tc>
        <w:tc>
          <w:tcPr>
            <w:tcW w:w="3780" w:type="dxa"/>
            <w:shd w:val="clear" w:color="auto" w:fill="9CC2E5"/>
            <w:hideMark/>
          </w:tcPr>
          <w:p w14:paraId="3E81B87D" w14:textId="77777777" w:rsidR="00D70D43" w:rsidRPr="00141F1F" w:rsidRDefault="00D70D43" w:rsidP="007463F5">
            <w:pPr>
              <w:keepNext/>
              <w:spacing w:line="256" w:lineRule="auto"/>
              <w:contextualSpacing/>
              <w:rPr>
                <w:rFonts w:eastAsia="Times New Roman" w:cstheme="minorHAnsi"/>
                <w:b/>
                <w:lang w:val="en-GB"/>
              </w:rPr>
            </w:pPr>
            <w:r w:rsidRPr="00141F1F">
              <w:rPr>
                <w:rFonts w:eastAsia="Times New Roman" w:cstheme="minorHAnsi"/>
                <w:b/>
                <w:lang w:val="en-GB"/>
              </w:rPr>
              <w:t>Mitigation Measure</w:t>
            </w:r>
          </w:p>
        </w:tc>
        <w:tc>
          <w:tcPr>
            <w:tcW w:w="1710" w:type="dxa"/>
            <w:shd w:val="clear" w:color="auto" w:fill="9CC2E5"/>
            <w:hideMark/>
          </w:tcPr>
          <w:p w14:paraId="118F5D4B" w14:textId="77777777" w:rsidR="00D70D43" w:rsidRPr="00141F1F" w:rsidRDefault="00D70D43" w:rsidP="007463F5">
            <w:pPr>
              <w:keepNext/>
              <w:spacing w:line="256" w:lineRule="auto"/>
              <w:contextualSpacing/>
              <w:jc w:val="center"/>
              <w:rPr>
                <w:rFonts w:eastAsia="Times New Roman" w:cstheme="minorHAnsi"/>
                <w:b/>
                <w:lang w:val="en-GB"/>
              </w:rPr>
            </w:pPr>
            <w:r w:rsidRPr="00141F1F">
              <w:rPr>
                <w:rFonts w:eastAsia="Times New Roman" w:cstheme="minorHAnsi"/>
                <w:b/>
                <w:lang w:val="en-GB"/>
              </w:rPr>
              <w:t>Timeframe</w:t>
            </w:r>
          </w:p>
        </w:tc>
        <w:tc>
          <w:tcPr>
            <w:tcW w:w="1705" w:type="dxa"/>
            <w:shd w:val="clear" w:color="auto" w:fill="9CC2E5"/>
            <w:hideMark/>
          </w:tcPr>
          <w:p w14:paraId="43FABD78" w14:textId="77777777" w:rsidR="00D70D43" w:rsidRPr="00141F1F" w:rsidRDefault="00D70D43" w:rsidP="007463F5">
            <w:pPr>
              <w:keepNext/>
              <w:spacing w:line="256" w:lineRule="auto"/>
              <w:contextualSpacing/>
              <w:jc w:val="center"/>
              <w:rPr>
                <w:rFonts w:eastAsia="Times New Roman" w:cstheme="minorHAnsi"/>
                <w:b/>
                <w:lang w:val="en-GB"/>
              </w:rPr>
            </w:pPr>
            <w:r w:rsidRPr="00141F1F">
              <w:rPr>
                <w:rFonts w:eastAsia="Times New Roman" w:cstheme="minorHAnsi"/>
                <w:b/>
                <w:lang w:val="en-GB"/>
              </w:rPr>
              <w:t>Responsibility</w:t>
            </w:r>
          </w:p>
        </w:tc>
      </w:tr>
      <w:tr w:rsidR="00D70D43" w:rsidRPr="00141F1F" w14:paraId="61A7B0A0" w14:textId="77777777" w:rsidTr="007463F5">
        <w:trPr>
          <w:trHeight w:val="2337"/>
        </w:trPr>
        <w:tc>
          <w:tcPr>
            <w:tcW w:w="2340" w:type="dxa"/>
          </w:tcPr>
          <w:p w14:paraId="0895A2AA" w14:textId="77777777" w:rsidR="00D70D43" w:rsidRPr="00141F1F" w:rsidRDefault="00D70D43" w:rsidP="007463F5">
            <w:pPr>
              <w:keepNext/>
              <w:spacing w:line="256" w:lineRule="auto"/>
              <w:contextualSpacing/>
              <w:rPr>
                <w:rFonts w:eastAsia="Times New Roman" w:cstheme="minorHAnsi"/>
              </w:rPr>
            </w:pPr>
            <w:r w:rsidRPr="00141F1F">
              <w:rPr>
                <w:rFonts w:eastAsia="MS Mincho" w:cstheme="minorHAnsi"/>
                <w:lang w:val="en-GB"/>
              </w:rPr>
              <w:t>staff have inadequate experience of managing procurements of high value and complex for goods, works and services contracts in accordance with the Bank’ procurement guidelines/regulations</w:t>
            </w:r>
          </w:p>
        </w:tc>
        <w:tc>
          <w:tcPr>
            <w:tcW w:w="3780" w:type="dxa"/>
          </w:tcPr>
          <w:p w14:paraId="6F8E0E59"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Provide training in World Bank procurement procedures and processes. For sustainability reasons, NEMC will prepare Capacity Building Plan for PMU and User Department</w:t>
            </w:r>
          </w:p>
        </w:tc>
        <w:tc>
          <w:tcPr>
            <w:tcW w:w="1710" w:type="dxa"/>
          </w:tcPr>
          <w:p w14:paraId="37C96E2F" w14:textId="77777777" w:rsidR="00D70D43" w:rsidRPr="00141F1F" w:rsidRDefault="00D70D43" w:rsidP="007463F5">
            <w:pPr>
              <w:keepNext/>
              <w:spacing w:line="256" w:lineRule="auto"/>
              <w:contextualSpacing/>
              <w:rPr>
                <w:rFonts w:eastAsia="Times New Roman" w:cstheme="minorHAnsi"/>
              </w:rPr>
            </w:pPr>
            <w:r w:rsidRPr="00141F1F">
              <w:rPr>
                <w:rFonts w:eastAsia="Times New Roman" w:cstheme="minorHAnsi"/>
                <w:lang w:val="en-GB"/>
              </w:rPr>
              <w:t>Throughout project implementation</w:t>
            </w:r>
          </w:p>
        </w:tc>
        <w:tc>
          <w:tcPr>
            <w:tcW w:w="1705" w:type="dxa"/>
            <w:vAlign w:val="center"/>
          </w:tcPr>
          <w:p w14:paraId="4594D2AC" w14:textId="77777777" w:rsidR="00D70D43" w:rsidRPr="00141F1F" w:rsidRDefault="00D70D43" w:rsidP="007463F5">
            <w:pPr>
              <w:keepNext/>
              <w:tabs>
                <w:tab w:val="left" w:pos="341"/>
                <w:tab w:val="center" w:pos="605"/>
              </w:tabs>
              <w:spacing w:line="256" w:lineRule="auto"/>
              <w:contextualSpacing/>
              <w:rPr>
                <w:rFonts w:eastAsia="Times New Roman" w:cstheme="minorHAnsi"/>
              </w:rPr>
            </w:pPr>
            <w:r w:rsidRPr="00141F1F">
              <w:rPr>
                <w:rFonts w:eastAsia="Times New Roman" w:cstheme="minorHAnsi"/>
              </w:rPr>
              <w:t>NEMC</w:t>
            </w:r>
          </w:p>
          <w:p w14:paraId="7962E2E7" w14:textId="77777777" w:rsidR="00D70D43" w:rsidRPr="00141F1F" w:rsidRDefault="00D70D43" w:rsidP="007463F5">
            <w:pPr>
              <w:keepNext/>
              <w:tabs>
                <w:tab w:val="left" w:pos="341"/>
                <w:tab w:val="center" w:pos="605"/>
              </w:tabs>
              <w:spacing w:line="256" w:lineRule="auto"/>
              <w:ind w:right="-111"/>
              <w:contextualSpacing/>
              <w:rPr>
                <w:rFonts w:eastAsia="Times New Roman" w:cstheme="minorHAnsi"/>
              </w:rPr>
            </w:pPr>
            <w:r w:rsidRPr="00141F1F">
              <w:rPr>
                <w:rFonts w:eastAsia="Times New Roman" w:cstheme="minorHAnsi"/>
              </w:rPr>
              <w:t>to examine training schedules at the Ghana Institute for Management and Public Administration in Ghana or any other similar institutions.</w:t>
            </w:r>
          </w:p>
        </w:tc>
      </w:tr>
      <w:tr w:rsidR="00D70D43" w:rsidRPr="00141F1F" w14:paraId="1025B637" w14:textId="77777777" w:rsidTr="007463F5">
        <w:tc>
          <w:tcPr>
            <w:tcW w:w="2340" w:type="dxa"/>
            <w:hideMark/>
          </w:tcPr>
          <w:p w14:paraId="792FDBF0" w14:textId="77777777" w:rsidR="00D70D43" w:rsidRPr="00141F1F" w:rsidRDefault="00D70D43" w:rsidP="007463F5">
            <w:pPr>
              <w:keepNext/>
              <w:spacing w:line="256" w:lineRule="auto"/>
              <w:contextualSpacing/>
              <w:rPr>
                <w:rFonts w:eastAsia="Times New Roman" w:cstheme="minorHAnsi"/>
              </w:rPr>
            </w:pPr>
            <w:r w:rsidRPr="00141F1F">
              <w:rPr>
                <w:rFonts w:eastAsia="Times New Roman" w:cstheme="minorHAnsi"/>
              </w:rPr>
              <w:t>Inefficiencies in processing, approving, and managing procurement activities</w:t>
            </w:r>
          </w:p>
        </w:tc>
        <w:tc>
          <w:tcPr>
            <w:tcW w:w="3780" w:type="dxa"/>
            <w:hideMark/>
          </w:tcPr>
          <w:p w14:paraId="3C158305" w14:textId="77777777" w:rsidR="00D70D43" w:rsidRPr="00141F1F" w:rsidRDefault="00D70D43" w:rsidP="007463F5">
            <w:pPr>
              <w:keepNext/>
              <w:spacing w:line="256" w:lineRule="auto"/>
              <w:contextualSpacing/>
              <w:jc w:val="both"/>
              <w:rPr>
                <w:rFonts w:eastAsia="Times New Roman" w:cstheme="minorHAnsi"/>
                <w:lang w:val="en-GB"/>
              </w:rPr>
            </w:pPr>
            <w:r w:rsidRPr="00141F1F">
              <w:rPr>
                <w:rFonts w:eastAsia="Times New Roman" w:cstheme="minorHAnsi"/>
              </w:rPr>
              <w:t xml:space="preserve">Ensure procurements are processed as per the timelines in the procurement plans, including timely, Tender Board approvals, preparation of bidding documents, </w:t>
            </w:r>
            <w:proofErr w:type="spellStart"/>
            <w:r w:rsidRPr="00141F1F">
              <w:rPr>
                <w:rFonts w:eastAsia="Times New Roman" w:cstheme="minorHAnsi"/>
              </w:rPr>
              <w:t>ToRs</w:t>
            </w:r>
            <w:proofErr w:type="spellEnd"/>
            <w:r w:rsidRPr="00141F1F">
              <w:rPr>
                <w:rFonts w:eastAsia="Times New Roman" w:cstheme="minorHAnsi"/>
              </w:rPr>
              <w:t xml:space="preserve"> and specifications by User Departments. </w:t>
            </w:r>
          </w:p>
        </w:tc>
        <w:tc>
          <w:tcPr>
            <w:tcW w:w="1710" w:type="dxa"/>
            <w:hideMark/>
          </w:tcPr>
          <w:p w14:paraId="205021F9"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Throughout project implementation</w:t>
            </w:r>
          </w:p>
        </w:tc>
        <w:tc>
          <w:tcPr>
            <w:tcW w:w="1705" w:type="dxa"/>
            <w:vAlign w:val="center"/>
            <w:hideMark/>
          </w:tcPr>
          <w:p w14:paraId="3D34080D" w14:textId="77777777" w:rsidR="00D70D43" w:rsidRPr="00141F1F" w:rsidRDefault="00D70D43" w:rsidP="007463F5">
            <w:pPr>
              <w:keepNext/>
              <w:tabs>
                <w:tab w:val="left" w:pos="325"/>
                <w:tab w:val="center" w:pos="605"/>
              </w:tabs>
              <w:spacing w:line="256" w:lineRule="auto"/>
              <w:contextualSpacing/>
              <w:jc w:val="center"/>
              <w:rPr>
                <w:rFonts w:eastAsia="Times New Roman" w:cstheme="minorHAnsi"/>
                <w:lang w:val="en-GB"/>
              </w:rPr>
            </w:pPr>
            <w:r w:rsidRPr="00141F1F">
              <w:rPr>
                <w:rFonts w:eastAsia="Times New Roman" w:cstheme="minorHAnsi"/>
              </w:rPr>
              <w:t>NEMC</w:t>
            </w:r>
          </w:p>
        </w:tc>
      </w:tr>
      <w:tr w:rsidR="00D70D43" w:rsidRPr="00141F1F" w14:paraId="03879E56" w14:textId="77777777" w:rsidTr="007463F5">
        <w:tc>
          <w:tcPr>
            <w:tcW w:w="2340" w:type="dxa"/>
            <w:hideMark/>
          </w:tcPr>
          <w:p w14:paraId="11CC0724" w14:textId="77777777" w:rsidR="00D70D43" w:rsidRPr="00141F1F" w:rsidRDefault="00D70D43" w:rsidP="007463F5">
            <w:pPr>
              <w:spacing w:line="256" w:lineRule="auto"/>
              <w:rPr>
                <w:rFonts w:eastAsia="Times New Roman" w:cstheme="minorHAnsi"/>
              </w:rPr>
            </w:pPr>
            <w:r w:rsidRPr="00141F1F">
              <w:rPr>
                <w:rFonts w:eastAsia="Times New Roman" w:cstheme="minorHAnsi"/>
              </w:rPr>
              <w:t>Inadequate knowledge and skills/experience in negotiations and contract management</w:t>
            </w:r>
          </w:p>
        </w:tc>
        <w:tc>
          <w:tcPr>
            <w:tcW w:w="3780" w:type="dxa"/>
            <w:hideMark/>
          </w:tcPr>
          <w:p w14:paraId="5B3ABB88" w14:textId="77777777" w:rsidR="00D70D43" w:rsidRPr="00141F1F" w:rsidRDefault="00D70D43" w:rsidP="007463F5">
            <w:pPr>
              <w:spacing w:line="256" w:lineRule="auto"/>
              <w:jc w:val="both"/>
              <w:rPr>
                <w:rFonts w:eastAsia="Times New Roman" w:cstheme="minorHAnsi"/>
              </w:rPr>
            </w:pPr>
            <w:r w:rsidRPr="00141F1F">
              <w:rPr>
                <w:rFonts w:eastAsia="Times New Roman" w:cstheme="minorHAnsi"/>
              </w:rPr>
              <w:t xml:space="preserve">Conduct training tailored in contract management for PMU staff and User Departments </w:t>
            </w:r>
          </w:p>
        </w:tc>
        <w:tc>
          <w:tcPr>
            <w:tcW w:w="1710" w:type="dxa"/>
            <w:hideMark/>
          </w:tcPr>
          <w:p w14:paraId="773926DF"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 xml:space="preserve">Throughout project implementation project </w:t>
            </w:r>
          </w:p>
        </w:tc>
        <w:tc>
          <w:tcPr>
            <w:tcW w:w="1705" w:type="dxa"/>
            <w:vAlign w:val="center"/>
            <w:hideMark/>
          </w:tcPr>
          <w:p w14:paraId="66952A60" w14:textId="77777777" w:rsidR="00D70D43" w:rsidRPr="00141F1F" w:rsidRDefault="00D70D43" w:rsidP="007463F5">
            <w:pPr>
              <w:keepNext/>
              <w:spacing w:line="256" w:lineRule="auto"/>
              <w:contextualSpacing/>
              <w:jc w:val="center"/>
              <w:rPr>
                <w:rFonts w:eastAsia="Times New Roman" w:cstheme="minorHAnsi"/>
                <w:lang w:val="en-GB"/>
              </w:rPr>
            </w:pPr>
            <w:r w:rsidRPr="00141F1F">
              <w:rPr>
                <w:rFonts w:eastAsia="Times New Roman" w:cstheme="minorHAnsi"/>
                <w:lang w:val="en-GB"/>
              </w:rPr>
              <w:t>NEMC</w:t>
            </w:r>
          </w:p>
        </w:tc>
      </w:tr>
      <w:tr w:rsidR="00D70D43" w:rsidRPr="00141F1F" w14:paraId="12CEF2F2" w14:textId="77777777" w:rsidTr="007463F5">
        <w:tc>
          <w:tcPr>
            <w:tcW w:w="2340" w:type="dxa"/>
          </w:tcPr>
          <w:p w14:paraId="04D20D95" w14:textId="77777777" w:rsidR="00D70D43" w:rsidRPr="00141F1F" w:rsidRDefault="00D70D43" w:rsidP="007463F5">
            <w:pPr>
              <w:spacing w:line="256" w:lineRule="auto"/>
              <w:rPr>
                <w:rFonts w:eastAsia="Times New Roman" w:cstheme="minorHAnsi"/>
              </w:rPr>
            </w:pPr>
            <w:r w:rsidRPr="00141F1F">
              <w:rPr>
                <w:rFonts w:eastAsia="Times New Roman" w:cstheme="minorHAnsi"/>
              </w:rPr>
              <w:t>Inadequate storage and record management system</w:t>
            </w:r>
          </w:p>
        </w:tc>
        <w:tc>
          <w:tcPr>
            <w:tcW w:w="3780" w:type="dxa"/>
          </w:tcPr>
          <w:p w14:paraId="095FB36C" w14:textId="77777777" w:rsidR="00D70D43" w:rsidRPr="00141F1F" w:rsidRDefault="00D70D43" w:rsidP="007463F5">
            <w:pPr>
              <w:spacing w:line="256" w:lineRule="auto"/>
              <w:rPr>
                <w:rFonts w:eastAsia="Times New Roman" w:cstheme="minorHAnsi"/>
              </w:rPr>
            </w:pPr>
            <w:r w:rsidRPr="00141F1F">
              <w:rPr>
                <w:rFonts w:eastAsia="Times New Roman" w:cstheme="minorHAnsi"/>
              </w:rPr>
              <w:t>Establish a sound filling and records management system.</w:t>
            </w:r>
          </w:p>
        </w:tc>
        <w:tc>
          <w:tcPr>
            <w:tcW w:w="1710" w:type="dxa"/>
          </w:tcPr>
          <w:p w14:paraId="3772E2BE" w14:textId="77777777" w:rsidR="00D70D43" w:rsidRPr="00141F1F" w:rsidRDefault="00D70D43" w:rsidP="007463F5">
            <w:pPr>
              <w:keepNext/>
              <w:spacing w:line="256" w:lineRule="auto"/>
              <w:contextualSpacing/>
              <w:jc w:val="both"/>
              <w:rPr>
                <w:rFonts w:eastAsia="Times New Roman" w:cstheme="minorHAnsi"/>
              </w:rPr>
            </w:pPr>
            <w:r w:rsidRPr="00141F1F">
              <w:rPr>
                <w:rFonts w:eastAsia="Times New Roman" w:cstheme="minorHAnsi"/>
              </w:rPr>
              <w:t>Throughout project implementation</w:t>
            </w:r>
          </w:p>
        </w:tc>
        <w:tc>
          <w:tcPr>
            <w:tcW w:w="1705" w:type="dxa"/>
            <w:vAlign w:val="center"/>
          </w:tcPr>
          <w:p w14:paraId="4D7168D1" w14:textId="77777777" w:rsidR="00D70D43" w:rsidRPr="00141F1F" w:rsidRDefault="00D70D43" w:rsidP="007463F5">
            <w:pPr>
              <w:keepNext/>
              <w:spacing w:line="256" w:lineRule="auto"/>
              <w:contextualSpacing/>
              <w:jc w:val="center"/>
              <w:rPr>
                <w:rFonts w:eastAsia="Times New Roman" w:cstheme="minorHAnsi"/>
              </w:rPr>
            </w:pPr>
            <w:r w:rsidRPr="00141F1F">
              <w:rPr>
                <w:rFonts w:eastAsia="Times New Roman" w:cstheme="minorHAnsi"/>
              </w:rPr>
              <w:t>NEMC</w:t>
            </w:r>
          </w:p>
        </w:tc>
      </w:tr>
    </w:tbl>
    <w:p w14:paraId="284AD94D" w14:textId="77777777" w:rsidR="00D70D43" w:rsidRPr="00141F1F" w:rsidRDefault="00D70D43" w:rsidP="00D70D43">
      <w:pPr>
        <w:spacing w:after="240"/>
        <w:contextualSpacing/>
        <w:jc w:val="both"/>
        <w:rPr>
          <w:rFonts w:eastAsia="MS Mincho" w:cstheme="minorHAnsi"/>
          <w:lang w:val="en-GB" w:eastAsia="x-none"/>
        </w:rPr>
      </w:pPr>
    </w:p>
    <w:p w14:paraId="5A7F18F7" w14:textId="77777777" w:rsidR="00D70D43" w:rsidRPr="008F00A0" w:rsidRDefault="00D70D43" w:rsidP="002E38A2">
      <w:pPr>
        <w:numPr>
          <w:ilvl w:val="0"/>
          <w:numId w:val="10"/>
        </w:numPr>
        <w:spacing w:before="120"/>
        <w:ind w:right="-432"/>
        <w:contextualSpacing/>
        <w:mirrorIndents/>
        <w:jc w:val="both"/>
        <w:rPr>
          <w:rFonts w:eastAsia="Times New Roman" w:cstheme="minorHAnsi"/>
        </w:rPr>
      </w:pPr>
      <w:r w:rsidRPr="008F00A0">
        <w:rPr>
          <w:rFonts w:eastAsia="MS Mincho" w:cstheme="minorHAnsi"/>
          <w:b/>
          <w:lang w:val="en-GB" w:eastAsia="x-none"/>
        </w:rPr>
        <w:t>Procurement oversight and monitoring arrangements:</w:t>
      </w:r>
      <w:r w:rsidRPr="008F00A0">
        <w:rPr>
          <w:rFonts w:eastAsia="MS Mincho" w:cstheme="minorHAnsi"/>
          <w:lang w:val="en-GB" w:eastAsia="x-none"/>
        </w:rPr>
        <w:t xml:space="preserve"> The World Bank exercises its procurement oversight through a risk-based approach comprising prior and post reviews as appropriate. The World Bank sets mandatory thresholds for prior review based on the procurement risk rating of the project. The requirement for a prior or post review shall be specified in the PP. The World Bank will carry out post reviews of procurement activities undertaken by the borrower to determine whether they comply with the requirements of the Legal Agreement. The Bank may also use the services of PPRA for carrying out post reviews for the project. Since the assessed procurement risk rating is ‘Substantial’, the borrower shall seek the World Bank’s prior review for contracts of value equivalent to the thresholds as detailed below. </w:t>
      </w:r>
    </w:p>
    <w:p w14:paraId="58EDAC32" w14:textId="77777777" w:rsidR="00D70D43" w:rsidRPr="00141F1F" w:rsidRDefault="00D70D43" w:rsidP="00D70D43">
      <w:pPr>
        <w:jc w:val="both"/>
        <w:rPr>
          <w:rFonts w:eastAsia="MS Mincho" w:cstheme="minorHAnsi"/>
          <w:lang w:val="en-GB" w:eastAsia="x-none"/>
        </w:rPr>
      </w:pPr>
    </w:p>
    <w:p w14:paraId="30F3ECA8" w14:textId="77777777" w:rsidR="00D70D43" w:rsidRPr="00141F1F" w:rsidRDefault="00D70D43" w:rsidP="00D70D43">
      <w:pPr>
        <w:ind w:left="720"/>
        <w:jc w:val="center"/>
        <w:rPr>
          <w:rFonts w:eastAsia="Times New Roman" w:cstheme="minorHAnsi"/>
          <w:b/>
          <w:bCs/>
          <w:lang w:val="en-AU"/>
        </w:rPr>
      </w:pPr>
      <w:r w:rsidRPr="00141F1F">
        <w:rPr>
          <w:rFonts w:eastAsia="Times New Roman" w:cstheme="minorHAnsi"/>
          <w:b/>
          <w:lang w:val="en-AU"/>
        </w:rPr>
        <w:t>Thresholds</w:t>
      </w:r>
      <w:r w:rsidRPr="00141F1F">
        <w:rPr>
          <w:rFonts w:eastAsia="Times New Roman" w:cstheme="minorHAnsi"/>
          <w:b/>
          <w:bCs/>
          <w:lang w:val="en-AU"/>
        </w:rPr>
        <w:t xml:space="preserve"> for Prior Review, Procurement Approaches and Methods</w:t>
      </w:r>
    </w:p>
    <w:tbl>
      <w:tblPr>
        <w:tblW w:w="4889" w:type="pct"/>
        <w:tblInd w:w="260" w:type="dxa"/>
        <w:shd w:val="clear" w:color="auto" w:fill="FFFFFF"/>
        <w:tblCellMar>
          <w:left w:w="0" w:type="dxa"/>
          <w:right w:w="0" w:type="dxa"/>
        </w:tblCellMar>
        <w:tblLook w:val="04A0" w:firstRow="1" w:lastRow="0" w:firstColumn="1" w:lastColumn="0" w:noHBand="0" w:noVBand="1"/>
      </w:tblPr>
      <w:tblGrid>
        <w:gridCol w:w="2193"/>
        <w:gridCol w:w="1454"/>
        <w:gridCol w:w="2017"/>
        <w:gridCol w:w="563"/>
        <w:gridCol w:w="1050"/>
        <w:gridCol w:w="1856"/>
      </w:tblGrid>
      <w:tr w:rsidR="00D70D43" w:rsidRPr="00141F1F" w14:paraId="4E773A54" w14:textId="77777777" w:rsidTr="007463F5">
        <w:trPr>
          <w:trHeight w:val="367"/>
        </w:trPr>
        <w:tc>
          <w:tcPr>
            <w:tcW w:w="5000" w:type="pct"/>
            <w:gridSpan w:val="6"/>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307D4B0" w14:textId="77777777" w:rsidR="00D70D43" w:rsidRPr="00141F1F" w:rsidRDefault="00D70D43" w:rsidP="002E38A2">
            <w:pPr>
              <w:keepNext/>
              <w:numPr>
                <w:ilvl w:val="0"/>
                <w:numId w:val="8"/>
              </w:numPr>
              <w:spacing w:before="120" w:after="0" w:line="276" w:lineRule="auto"/>
              <w:contextualSpacing/>
              <w:jc w:val="both"/>
              <w:rPr>
                <w:rFonts w:eastAsia="Times New Roman" w:cstheme="minorHAnsi"/>
                <w:b/>
                <w:bCs/>
                <w:lang w:val="en-AU"/>
              </w:rPr>
            </w:pPr>
            <w:r w:rsidRPr="00141F1F">
              <w:rPr>
                <w:rFonts w:eastAsia="Times New Roman" w:cstheme="minorHAnsi"/>
                <w:b/>
                <w:bCs/>
                <w:lang w:val="en-AU"/>
              </w:rPr>
              <w:t>Goods, Works and Non-Consulting Services</w:t>
            </w:r>
          </w:p>
        </w:tc>
      </w:tr>
      <w:tr w:rsidR="00D70D43" w:rsidRPr="00141F1F" w14:paraId="3D021C30" w14:textId="77777777" w:rsidTr="00850C68">
        <w:trPr>
          <w:trHeight w:val="340"/>
        </w:trPr>
        <w:tc>
          <w:tcPr>
            <w:tcW w:w="1201" w:type="pct"/>
            <w:vMerge w:val="restart"/>
            <w:tcBorders>
              <w:top w:val="nil"/>
              <w:left w:val="single" w:sz="8" w:space="0" w:color="auto"/>
              <w:right w:val="single" w:sz="8" w:space="0" w:color="auto"/>
            </w:tcBorders>
            <w:shd w:val="clear" w:color="auto" w:fill="FFFFFF"/>
            <w:tcMar>
              <w:top w:w="0" w:type="dxa"/>
              <w:left w:w="108" w:type="dxa"/>
              <w:bottom w:w="0" w:type="dxa"/>
              <w:right w:w="108" w:type="dxa"/>
            </w:tcMar>
            <w:vAlign w:val="center"/>
          </w:tcPr>
          <w:p w14:paraId="4F0592EA"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Category</w:t>
            </w:r>
          </w:p>
        </w:tc>
        <w:tc>
          <w:tcPr>
            <w:tcW w:w="796" w:type="pct"/>
            <w:vMerge w:val="restart"/>
            <w:tcBorders>
              <w:top w:val="nil"/>
              <w:left w:val="nil"/>
              <w:right w:val="single" w:sz="8" w:space="0" w:color="auto"/>
            </w:tcBorders>
            <w:shd w:val="clear" w:color="auto" w:fill="FFFFFF"/>
            <w:tcMar>
              <w:top w:w="0" w:type="dxa"/>
              <w:left w:w="108" w:type="dxa"/>
              <w:bottom w:w="0" w:type="dxa"/>
              <w:right w:w="108" w:type="dxa"/>
            </w:tcMar>
            <w:vAlign w:val="center"/>
          </w:tcPr>
          <w:p w14:paraId="23E1F227" w14:textId="77777777" w:rsidR="00D70D43" w:rsidRPr="00141F1F" w:rsidRDefault="00D70D43" w:rsidP="007463F5">
            <w:pPr>
              <w:spacing w:before="120" w:line="276" w:lineRule="auto"/>
              <w:ind w:left="-74" w:right="-109"/>
              <w:contextualSpacing/>
              <w:jc w:val="center"/>
              <w:rPr>
                <w:rFonts w:eastAsia="Times New Roman" w:cstheme="minorHAnsi"/>
                <w:b/>
                <w:bCs/>
                <w:lang w:val="en-AU"/>
              </w:rPr>
            </w:pPr>
            <w:r w:rsidRPr="00141F1F">
              <w:rPr>
                <w:rFonts w:eastAsia="Times New Roman" w:cstheme="minorHAnsi"/>
                <w:b/>
                <w:bCs/>
                <w:lang w:val="en-AU"/>
              </w:rPr>
              <w:t>Prior Review (US$ millions)</w:t>
            </w:r>
          </w:p>
        </w:tc>
        <w:tc>
          <w:tcPr>
            <w:tcW w:w="3003" w:type="pct"/>
            <w:gridSpan w:val="4"/>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E137F29" w14:textId="77777777" w:rsidR="00D70D43" w:rsidRPr="00141F1F" w:rsidRDefault="00D70D43" w:rsidP="007463F5">
            <w:pPr>
              <w:spacing w:before="120" w:line="276" w:lineRule="auto"/>
              <w:ind w:left="-107"/>
              <w:contextualSpacing/>
              <w:jc w:val="center"/>
              <w:rPr>
                <w:rFonts w:eastAsia="Times New Roman" w:cstheme="minorHAnsi"/>
                <w:b/>
                <w:bCs/>
                <w:lang w:val="en-AU"/>
              </w:rPr>
            </w:pPr>
            <w:r w:rsidRPr="00141F1F">
              <w:rPr>
                <w:rFonts w:eastAsia="Times New Roman" w:cstheme="minorHAnsi"/>
                <w:b/>
                <w:bCs/>
                <w:lang w:val="en-AU"/>
              </w:rPr>
              <w:t>Procurement Approaches and Methods (US$ millions)</w:t>
            </w:r>
          </w:p>
        </w:tc>
      </w:tr>
      <w:tr w:rsidR="00D70D43" w:rsidRPr="00141F1F" w14:paraId="1F1D882D" w14:textId="77777777" w:rsidTr="00850C68">
        <w:trPr>
          <w:trHeight w:val="593"/>
        </w:trPr>
        <w:tc>
          <w:tcPr>
            <w:tcW w:w="1201" w:type="pct"/>
            <w:vMerge/>
            <w:tcBorders>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500448B" w14:textId="77777777" w:rsidR="00D70D43" w:rsidRPr="00141F1F" w:rsidRDefault="00D70D43" w:rsidP="007463F5">
            <w:pPr>
              <w:spacing w:before="120" w:line="276" w:lineRule="auto"/>
              <w:contextualSpacing/>
              <w:jc w:val="center"/>
              <w:rPr>
                <w:rFonts w:eastAsia="Times New Roman" w:cstheme="minorHAnsi"/>
                <w:b/>
                <w:bCs/>
                <w:lang w:val="en-AU"/>
              </w:rPr>
            </w:pPr>
          </w:p>
        </w:tc>
        <w:tc>
          <w:tcPr>
            <w:tcW w:w="796" w:type="pct"/>
            <w:vMerge/>
            <w:tcBorders>
              <w:left w:val="nil"/>
              <w:bottom w:val="single" w:sz="8" w:space="0" w:color="auto"/>
              <w:right w:val="single" w:sz="8" w:space="0" w:color="auto"/>
            </w:tcBorders>
            <w:shd w:val="clear" w:color="auto" w:fill="FFFFFF"/>
            <w:tcMar>
              <w:top w:w="0" w:type="dxa"/>
              <w:left w:w="108" w:type="dxa"/>
              <w:bottom w:w="0" w:type="dxa"/>
              <w:right w:w="108" w:type="dxa"/>
            </w:tcMar>
            <w:hideMark/>
          </w:tcPr>
          <w:p w14:paraId="46523993" w14:textId="77777777" w:rsidR="00D70D43" w:rsidRPr="00141F1F" w:rsidRDefault="00D70D43" w:rsidP="007463F5">
            <w:pPr>
              <w:spacing w:before="120" w:line="276" w:lineRule="auto"/>
              <w:contextualSpacing/>
              <w:jc w:val="center"/>
              <w:rPr>
                <w:rFonts w:eastAsia="Times New Roman" w:cstheme="minorHAnsi"/>
                <w:b/>
                <w:bCs/>
                <w:lang w:val="en-AU"/>
              </w:rPr>
            </w:pPr>
          </w:p>
        </w:tc>
        <w:tc>
          <w:tcPr>
            <w:tcW w:w="11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B779544"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Open International</w:t>
            </w:r>
          </w:p>
        </w:tc>
        <w:tc>
          <w:tcPr>
            <w:tcW w:w="883" w:type="pct"/>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A63BE1"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Open National</w:t>
            </w:r>
          </w:p>
        </w:tc>
        <w:tc>
          <w:tcPr>
            <w:tcW w:w="101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553E8FA"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Request for Quotation (</w:t>
            </w:r>
            <w:proofErr w:type="spellStart"/>
            <w:r w:rsidRPr="00141F1F">
              <w:rPr>
                <w:rFonts w:eastAsia="Times New Roman" w:cstheme="minorHAnsi"/>
                <w:b/>
                <w:bCs/>
                <w:lang w:val="en-AU"/>
              </w:rPr>
              <w:t>RfQ</w:t>
            </w:r>
            <w:proofErr w:type="spellEnd"/>
            <w:r w:rsidRPr="00141F1F">
              <w:rPr>
                <w:rFonts w:eastAsia="Times New Roman" w:cstheme="minorHAnsi"/>
                <w:b/>
                <w:bCs/>
                <w:lang w:val="en-AU"/>
              </w:rPr>
              <w:t>)</w:t>
            </w:r>
          </w:p>
        </w:tc>
      </w:tr>
      <w:tr w:rsidR="00D70D43" w:rsidRPr="00141F1F" w14:paraId="77BAFEB6" w14:textId="77777777" w:rsidTr="00850C68">
        <w:tc>
          <w:tcPr>
            <w:tcW w:w="120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AFDF985" w14:textId="77777777" w:rsidR="00D70D43" w:rsidRPr="00141F1F" w:rsidRDefault="00D70D43" w:rsidP="007463F5">
            <w:pPr>
              <w:spacing w:before="120" w:line="360" w:lineRule="auto"/>
              <w:contextualSpacing/>
              <w:jc w:val="both"/>
              <w:rPr>
                <w:rFonts w:eastAsia="Times New Roman" w:cstheme="minorHAnsi"/>
                <w:lang w:val="en-AU"/>
              </w:rPr>
            </w:pPr>
            <w:r w:rsidRPr="00141F1F">
              <w:rPr>
                <w:rFonts w:eastAsia="Times New Roman" w:cstheme="minorHAnsi"/>
                <w:lang w:val="en-AU"/>
              </w:rPr>
              <w:t>Works</w:t>
            </w:r>
          </w:p>
        </w:tc>
        <w:tc>
          <w:tcPr>
            <w:tcW w:w="79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C5A2E9F"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10</w:t>
            </w:r>
          </w:p>
        </w:tc>
        <w:tc>
          <w:tcPr>
            <w:tcW w:w="11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ABB524A"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15</w:t>
            </w:r>
          </w:p>
        </w:tc>
        <w:tc>
          <w:tcPr>
            <w:tcW w:w="883" w:type="pct"/>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F50DA7D"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&lt;</w:t>
            </w:r>
            <w:r w:rsidRPr="00141F1F">
              <w:rPr>
                <w:rFonts w:eastAsia="Times New Roman" w:cstheme="minorHAnsi"/>
                <w:bCs/>
                <w:lang w:val="en-AU"/>
              </w:rPr>
              <w:t xml:space="preserve"> </w:t>
            </w:r>
            <w:r w:rsidRPr="00141F1F">
              <w:rPr>
                <w:rFonts w:eastAsia="Times New Roman" w:cstheme="minorHAnsi"/>
                <w:lang w:val="en-AU"/>
              </w:rPr>
              <w:t>15</w:t>
            </w:r>
          </w:p>
        </w:tc>
        <w:tc>
          <w:tcPr>
            <w:tcW w:w="101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BDAE61E"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0.2</w:t>
            </w:r>
          </w:p>
        </w:tc>
      </w:tr>
      <w:tr w:rsidR="00D70D43" w:rsidRPr="00141F1F" w14:paraId="1BF000DF" w14:textId="77777777" w:rsidTr="00850C68">
        <w:tc>
          <w:tcPr>
            <w:tcW w:w="1201"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BCA88F2" w14:textId="77777777" w:rsidR="00D70D43" w:rsidRPr="00141F1F" w:rsidRDefault="00D70D43" w:rsidP="007463F5">
            <w:pPr>
              <w:spacing w:before="120" w:line="276" w:lineRule="auto"/>
              <w:contextualSpacing/>
              <w:jc w:val="both"/>
              <w:rPr>
                <w:rFonts w:eastAsia="Times New Roman" w:cstheme="minorHAnsi"/>
                <w:lang w:val="en-AU"/>
              </w:rPr>
            </w:pPr>
            <w:r w:rsidRPr="00141F1F">
              <w:rPr>
                <w:rFonts w:eastAsia="Times New Roman" w:cstheme="minorHAnsi"/>
                <w:lang w:val="en-AU"/>
              </w:rPr>
              <w:t>Goods, IT, and non-consulting services</w:t>
            </w:r>
          </w:p>
        </w:tc>
        <w:tc>
          <w:tcPr>
            <w:tcW w:w="79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3F49D6F"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xml:space="preserve">≥ 2 </w:t>
            </w:r>
          </w:p>
        </w:tc>
        <w:tc>
          <w:tcPr>
            <w:tcW w:w="1104"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A4865EB"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5</w:t>
            </w:r>
          </w:p>
        </w:tc>
        <w:tc>
          <w:tcPr>
            <w:tcW w:w="883" w:type="pct"/>
            <w:gridSpan w:val="2"/>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67AC3DC"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&lt;</w:t>
            </w:r>
            <w:r w:rsidRPr="00141F1F">
              <w:rPr>
                <w:rFonts w:eastAsia="Times New Roman" w:cstheme="minorHAnsi"/>
                <w:bCs/>
                <w:lang w:val="en-AU"/>
              </w:rPr>
              <w:t xml:space="preserve"> </w:t>
            </w:r>
            <w:r w:rsidRPr="00141F1F">
              <w:rPr>
                <w:rFonts w:eastAsia="Times New Roman" w:cstheme="minorHAnsi"/>
                <w:lang w:val="en-AU"/>
              </w:rPr>
              <w:t>5</w:t>
            </w:r>
          </w:p>
        </w:tc>
        <w:tc>
          <w:tcPr>
            <w:tcW w:w="1016"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EB8A071"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0.1</w:t>
            </w:r>
          </w:p>
        </w:tc>
      </w:tr>
      <w:tr w:rsidR="00D70D43" w:rsidRPr="00141F1F" w14:paraId="724318E6" w14:textId="77777777" w:rsidTr="007463F5">
        <w:tblPrEx>
          <w:shd w:val="clear" w:color="auto" w:fill="auto"/>
        </w:tblPrEx>
        <w:trPr>
          <w:trHeight w:val="296"/>
        </w:trPr>
        <w:tc>
          <w:tcPr>
            <w:tcW w:w="5000" w:type="pct"/>
            <w:gridSpan w:val="6"/>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615E1B1D" w14:textId="77777777" w:rsidR="00D70D43" w:rsidRPr="00141F1F" w:rsidRDefault="00D70D43" w:rsidP="002E38A2">
            <w:pPr>
              <w:keepNext/>
              <w:numPr>
                <w:ilvl w:val="0"/>
                <w:numId w:val="8"/>
              </w:numPr>
              <w:spacing w:before="120" w:after="0" w:line="276" w:lineRule="auto"/>
              <w:contextualSpacing/>
              <w:jc w:val="both"/>
              <w:rPr>
                <w:rFonts w:eastAsia="Times New Roman" w:cstheme="minorHAnsi"/>
                <w:b/>
                <w:bCs/>
                <w:lang w:val="en-AU"/>
              </w:rPr>
            </w:pPr>
            <w:r w:rsidRPr="00141F1F">
              <w:rPr>
                <w:rFonts w:eastAsia="Times New Roman" w:cstheme="minorHAnsi"/>
                <w:b/>
                <w:bCs/>
                <w:lang w:val="en-AU"/>
              </w:rPr>
              <w:t>Consulting Services</w:t>
            </w:r>
          </w:p>
        </w:tc>
      </w:tr>
      <w:tr w:rsidR="00D70D43" w:rsidRPr="00141F1F" w14:paraId="5BDE37F0" w14:textId="77777777" w:rsidTr="00850C68">
        <w:tblPrEx>
          <w:shd w:val="clear" w:color="auto" w:fill="auto"/>
        </w:tblPrEx>
        <w:trPr>
          <w:trHeight w:val="296"/>
        </w:trPr>
        <w:tc>
          <w:tcPr>
            <w:tcW w:w="1201"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31F28F1" w14:textId="77777777" w:rsidR="00D70D43" w:rsidRPr="00141F1F" w:rsidRDefault="00D70D43" w:rsidP="007463F5">
            <w:pPr>
              <w:spacing w:before="120" w:line="276" w:lineRule="auto"/>
              <w:contextualSpacing/>
              <w:jc w:val="center"/>
              <w:rPr>
                <w:rFonts w:eastAsia="Calibri" w:cstheme="minorHAnsi"/>
                <w:b/>
                <w:bCs/>
                <w:lang w:val="en-AU"/>
              </w:rPr>
            </w:pPr>
            <w:r w:rsidRPr="00141F1F">
              <w:rPr>
                <w:rFonts w:eastAsia="Times New Roman" w:cstheme="minorHAnsi"/>
                <w:b/>
                <w:bCs/>
                <w:lang w:val="en-AU"/>
              </w:rPr>
              <w:t>Category</w:t>
            </w:r>
          </w:p>
        </w:tc>
        <w:tc>
          <w:tcPr>
            <w:tcW w:w="796" w:type="pct"/>
            <w:vMerge w:val="restar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D7262EB" w14:textId="77777777" w:rsidR="00D70D43" w:rsidRPr="00141F1F" w:rsidRDefault="00D70D43" w:rsidP="007463F5">
            <w:pPr>
              <w:spacing w:before="120" w:line="276" w:lineRule="auto"/>
              <w:ind w:left="-164" w:right="-109"/>
              <w:contextualSpacing/>
              <w:jc w:val="center"/>
              <w:rPr>
                <w:rFonts w:eastAsia="Times New Roman" w:cstheme="minorHAnsi"/>
                <w:b/>
                <w:bCs/>
                <w:lang w:val="en-AU"/>
              </w:rPr>
            </w:pPr>
            <w:r w:rsidRPr="00141F1F">
              <w:rPr>
                <w:rFonts w:eastAsia="Times New Roman" w:cstheme="minorHAnsi"/>
                <w:b/>
                <w:bCs/>
                <w:lang w:val="en-AU"/>
              </w:rPr>
              <w:t>Prior Review (US$ millions)</w:t>
            </w:r>
          </w:p>
        </w:tc>
        <w:tc>
          <w:tcPr>
            <w:tcW w:w="3003" w:type="pct"/>
            <w:gridSpan w:val="4"/>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849A226"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Short List of National Consultants (US$ million)</w:t>
            </w:r>
          </w:p>
        </w:tc>
      </w:tr>
      <w:tr w:rsidR="00D70D43" w:rsidRPr="00141F1F" w14:paraId="22A91798" w14:textId="77777777" w:rsidTr="00850C68">
        <w:tblPrEx>
          <w:shd w:val="clear" w:color="auto" w:fill="auto"/>
        </w:tblPrEx>
        <w:tc>
          <w:tcPr>
            <w:tcW w:w="1201" w:type="pct"/>
            <w:vMerge/>
            <w:tcBorders>
              <w:top w:val="single" w:sz="8" w:space="0" w:color="auto"/>
              <w:left w:val="single" w:sz="8" w:space="0" w:color="auto"/>
              <w:bottom w:val="single" w:sz="8" w:space="0" w:color="auto"/>
              <w:right w:val="single" w:sz="8" w:space="0" w:color="auto"/>
            </w:tcBorders>
            <w:vAlign w:val="center"/>
            <w:hideMark/>
          </w:tcPr>
          <w:p w14:paraId="7714CB80" w14:textId="77777777" w:rsidR="00D70D43" w:rsidRPr="00141F1F" w:rsidRDefault="00D70D43" w:rsidP="007463F5">
            <w:pPr>
              <w:spacing w:before="120" w:line="276" w:lineRule="auto"/>
              <w:contextualSpacing/>
              <w:jc w:val="both"/>
              <w:rPr>
                <w:rFonts w:eastAsia="Calibri" w:cstheme="minorHAnsi"/>
                <w:b/>
                <w:bCs/>
                <w:lang w:val="en-AU"/>
              </w:rPr>
            </w:pPr>
          </w:p>
        </w:tc>
        <w:tc>
          <w:tcPr>
            <w:tcW w:w="796" w:type="pct"/>
            <w:vMerge/>
            <w:tcBorders>
              <w:top w:val="single" w:sz="8" w:space="0" w:color="auto"/>
              <w:left w:val="nil"/>
              <w:bottom w:val="single" w:sz="8" w:space="0" w:color="auto"/>
              <w:right w:val="single" w:sz="8" w:space="0" w:color="auto"/>
            </w:tcBorders>
            <w:vAlign w:val="center"/>
            <w:hideMark/>
          </w:tcPr>
          <w:p w14:paraId="73CFDB1E" w14:textId="77777777" w:rsidR="00D70D43" w:rsidRPr="00141F1F" w:rsidRDefault="00D70D43" w:rsidP="007463F5">
            <w:pPr>
              <w:spacing w:before="120" w:line="276" w:lineRule="auto"/>
              <w:contextualSpacing/>
              <w:jc w:val="both"/>
              <w:rPr>
                <w:rFonts w:eastAsia="Calibri" w:cstheme="minorHAnsi"/>
                <w:b/>
                <w:bCs/>
                <w:lang w:val="en-AU"/>
              </w:rPr>
            </w:pPr>
          </w:p>
        </w:tc>
        <w:tc>
          <w:tcPr>
            <w:tcW w:w="1412"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08160437"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Consulting Services</w:t>
            </w:r>
          </w:p>
        </w:tc>
        <w:tc>
          <w:tcPr>
            <w:tcW w:w="1591"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4FAC5E43" w14:textId="77777777" w:rsidR="00D70D43" w:rsidRPr="00141F1F" w:rsidRDefault="00D70D43" w:rsidP="007463F5">
            <w:pPr>
              <w:spacing w:before="120" w:line="276" w:lineRule="auto"/>
              <w:contextualSpacing/>
              <w:jc w:val="center"/>
              <w:rPr>
                <w:rFonts w:eastAsia="Times New Roman" w:cstheme="minorHAnsi"/>
                <w:b/>
                <w:bCs/>
                <w:lang w:val="en-AU"/>
              </w:rPr>
            </w:pPr>
            <w:r w:rsidRPr="00141F1F">
              <w:rPr>
                <w:rFonts w:eastAsia="Times New Roman" w:cstheme="minorHAnsi"/>
                <w:b/>
                <w:bCs/>
                <w:lang w:val="en-AU"/>
              </w:rPr>
              <w:t>Engineering and Construction Supervision</w:t>
            </w:r>
          </w:p>
        </w:tc>
      </w:tr>
      <w:tr w:rsidR="00D70D43" w:rsidRPr="00141F1F" w14:paraId="501BD1CA" w14:textId="77777777" w:rsidTr="00850C68">
        <w:tblPrEx>
          <w:shd w:val="clear" w:color="auto" w:fill="auto"/>
        </w:tblPrEx>
        <w:tc>
          <w:tcPr>
            <w:tcW w:w="120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FAE13C" w14:textId="77777777" w:rsidR="00D70D43" w:rsidRPr="00141F1F" w:rsidRDefault="00D70D43" w:rsidP="007463F5">
            <w:pPr>
              <w:spacing w:before="120" w:line="276" w:lineRule="auto"/>
              <w:contextualSpacing/>
              <w:jc w:val="both"/>
              <w:rPr>
                <w:rFonts w:eastAsia="Times New Roman" w:cstheme="minorHAnsi"/>
                <w:lang w:val="en-AU"/>
              </w:rPr>
            </w:pPr>
            <w:r w:rsidRPr="00141F1F">
              <w:rPr>
                <w:rFonts w:eastAsia="Times New Roman" w:cstheme="minorHAnsi"/>
                <w:lang w:val="en-AU"/>
              </w:rPr>
              <w:t>Consultants (Firms)</w:t>
            </w:r>
          </w:p>
        </w:tc>
        <w:tc>
          <w:tcPr>
            <w:tcW w:w="796" w:type="pct"/>
            <w:tcBorders>
              <w:top w:val="nil"/>
              <w:left w:val="nil"/>
              <w:bottom w:val="single" w:sz="8" w:space="0" w:color="auto"/>
              <w:right w:val="single" w:sz="8" w:space="0" w:color="auto"/>
            </w:tcBorders>
            <w:tcMar>
              <w:top w:w="0" w:type="dxa"/>
              <w:left w:w="108" w:type="dxa"/>
              <w:bottom w:w="0" w:type="dxa"/>
              <w:right w:w="108" w:type="dxa"/>
            </w:tcMar>
            <w:hideMark/>
          </w:tcPr>
          <w:p w14:paraId="729F8B6B" w14:textId="77777777" w:rsidR="00D70D43" w:rsidRPr="00141F1F" w:rsidRDefault="00D70D43" w:rsidP="007463F5">
            <w:pPr>
              <w:spacing w:before="120" w:line="360" w:lineRule="auto"/>
              <w:contextualSpacing/>
              <w:jc w:val="center"/>
              <w:rPr>
                <w:rFonts w:eastAsia="Times New Roman" w:cstheme="minorHAnsi"/>
                <w:lang w:val="en-AU"/>
              </w:rPr>
            </w:pPr>
            <w:r w:rsidRPr="00141F1F">
              <w:rPr>
                <w:rFonts w:eastAsia="Times New Roman" w:cstheme="minorHAnsi"/>
                <w:lang w:val="en-AU"/>
              </w:rPr>
              <w:t>≥ 1</w:t>
            </w:r>
          </w:p>
        </w:tc>
        <w:tc>
          <w:tcPr>
            <w:tcW w:w="1412"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6DB472CB"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0.3</w:t>
            </w:r>
          </w:p>
        </w:tc>
        <w:tc>
          <w:tcPr>
            <w:tcW w:w="1591"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3EA4B761"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 0.3</w:t>
            </w:r>
          </w:p>
        </w:tc>
      </w:tr>
      <w:tr w:rsidR="00D70D43" w:rsidRPr="00141F1F" w14:paraId="225460DE" w14:textId="77777777" w:rsidTr="00850C68">
        <w:tblPrEx>
          <w:shd w:val="clear" w:color="auto" w:fill="auto"/>
        </w:tblPrEx>
        <w:tc>
          <w:tcPr>
            <w:tcW w:w="1201"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4C0C25" w14:textId="77777777" w:rsidR="00D70D43" w:rsidRPr="00141F1F" w:rsidRDefault="00D70D43" w:rsidP="007463F5">
            <w:pPr>
              <w:spacing w:before="120" w:line="276" w:lineRule="auto"/>
              <w:contextualSpacing/>
              <w:jc w:val="both"/>
              <w:rPr>
                <w:rFonts w:eastAsia="Times New Roman" w:cstheme="minorHAnsi"/>
                <w:lang w:val="en-AU"/>
              </w:rPr>
            </w:pPr>
            <w:r w:rsidRPr="00141F1F">
              <w:rPr>
                <w:rFonts w:eastAsia="Times New Roman" w:cstheme="minorHAnsi"/>
                <w:lang w:val="en-AU"/>
              </w:rPr>
              <w:t>Individual Consultants</w:t>
            </w:r>
          </w:p>
        </w:tc>
        <w:tc>
          <w:tcPr>
            <w:tcW w:w="796" w:type="pct"/>
            <w:tcBorders>
              <w:top w:val="nil"/>
              <w:left w:val="nil"/>
              <w:bottom w:val="single" w:sz="8" w:space="0" w:color="auto"/>
              <w:right w:val="single" w:sz="8" w:space="0" w:color="auto"/>
            </w:tcBorders>
            <w:tcMar>
              <w:top w:w="0" w:type="dxa"/>
              <w:left w:w="108" w:type="dxa"/>
              <w:bottom w:w="0" w:type="dxa"/>
              <w:right w:w="108" w:type="dxa"/>
            </w:tcMar>
            <w:hideMark/>
          </w:tcPr>
          <w:p w14:paraId="3E7AD882" w14:textId="77777777" w:rsidR="00D70D43" w:rsidRPr="00141F1F" w:rsidRDefault="00D70D43" w:rsidP="007463F5">
            <w:pPr>
              <w:spacing w:before="120" w:line="360" w:lineRule="auto"/>
              <w:contextualSpacing/>
              <w:jc w:val="center"/>
              <w:rPr>
                <w:rFonts w:eastAsia="Times New Roman" w:cstheme="minorHAnsi"/>
                <w:lang w:val="en-AU"/>
              </w:rPr>
            </w:pPr>
            <w:r w:rsidRPr="00141F1F">
              <w:rPr>
                <w:rFonts w:eastAsia="Times New Roman" w:cstheme="minorHAnsi"/>
                <w:lang w:val="en-AU"/>
              </w:rPr>
              <w:t>≥ 0.3</w:t>
            </w:r>
          </w:p>
        </w:tc>
        <w:tc>
          <w:tcPr>
            <w:tcW w:w="1412"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09D0D0BE"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NA.</w:t>
            </w:r>
          </w:p>
        </w:tc>
        <w:tc>
          <w:tcPr>
            <w:tcW w:w="1591" w:type="pct"/>
            <w:gridSpan w:val="2"/>
            <w:tcBorders>
              <w:top w:val="nil"/>
              <w:left w:val="nil"/>
              <w:bottom w:val="single" w:sz="8" w:space="0" w:color="auto"/>
              <w:right w:val="single" w:sz="8" w:space="0" w:color="auto"/>
            </w:tcBorders>
            <w:tcMar>
              <w:top w:w="0" w:type="dxa"/>
              <w:left w:w="108" w:type="dxa"/>
              <w:bottom w:w="0" w:type="dxa"/>
              <w:right w:w="108" w:type="dxa"/>
            </w:tcMar>
            <w:hideMark/>
          </w:tcPr>
          <w:p w14:paraId="2AE4B083" w14:textId="77777777" w:rsidR="00D70D43" w:rsidRPr="00141F1F" w:rsidRDefault="00D70D43" w:rsidP="007463F5">
            <w:pPr>
              <w:spacing w:before="120" w:line="276" w:lineRule="auto"/>
              <w:contextualSpacing/>
              <w:jc w:val="center"/>
              <w:rPr>
                <w:rFonts w:eastAsia="Times New Roman" w:cstheme="minorHAnsi"/>
                <w:lang w:val="en-AU"/>
              </w:rPr>
            </w:pPr>
            <w:r w:rsidRPr="00141F1F">
              <w:rPr>
                <w:rFonts w:eastAsia="Times New Roman" w:cstheme="minorHAnsi"/>
                <w:lang w:val="en-AU"/>
              </w:rPr>
              <w:t>NA.</w:t>
            </w:r>
          </w:p>
        </w:tc>
      </w:tr>
    </w:tbl>
    <w:p w14:paraId="1A14DEDF" w14:textId="77777777" w:rsidR="00D70D43" w:rsidRPr="00141F1F" w:rsidRDefault="00D70D43" w:rsidP="00D70D43">
      <w:pPr>
        <w:jc w:val="both"/>
        <w:rPr>
          <w:rFonts w:eastAsia="MS Mincho" w:cstheme="minorHAnsi"/>
          <w:lang w:val="en-GB" w:eastAsia="x-none"/>
        </w:rPr>
      </w:pPr>
    </w:p>
    <w:p w14:paraId="58631828" w14:textId="77777777" w:rsidR="00D70D43" w:rsidRDefault="00D70D43" w:rsidP="002E38A2">
      <w:pPr>
        <w:numPr>
          <w:ilvl w:val="0"/>
          <w:numId w:val="10"/>
        </w:numPr>
        <w:spacing w:before="120"/>
        <w:ind w:right="-432"/>
        <w:contextualSpacing/>
        <w:mirrorIndents/>
        <w:jc w:val="both"/>
        <w:rPr>
          <w:rFonts w:eastAsia="Times New Roman" w:cstheme="minorHAnsi"/>
        </w:rPr>
      </w:pPr>
      <w:r w:rsidRPr="008F00A0">
        <w:rPr>
          <w:rFonts w:eastAsia="MS Mincho" w:cstheme="minorHAnsi"/>
          <w:b/>
          <w:lang w:val="en-GB" w:eastAsia="x-none"/>
        </w:rPr>
        <w:t>Frequency of Procurement Supervision.</w:t>
      </w:r>
      <w:r w:rsidRPr="008F00A0">
        <w:rPr>
          <w:rFonts w:eastAsia="MS Mincho" w:cstheme="minorHAnsi"/>
          <w:lang w:val="en-GB" w:eastAsia="x-none"/>
        </w:rPr>
        <w:t xml:space="preserve"> In addition to the prior review supervision to be carried out from Bank offices, the capacity assessment of the implementing agencies recommends one supervision mission every six months to visit the field to carry out post review of procurement actions.</w:t>
      </w:r>
    </w:p>
    <w:p w14:paraId="6CA2A679" w14:textId="77777777" w:rsidR="00D70D43" w:rsidRPr="008F00A0" w:rsidRDefault="00D70D43" w:rsidP="00D70D43">
      <w:pPr>
        <w:spacing w:before="120"/>
        <w:ind w:left="3" w:right="-432"/>
        <w:contextualSpacing/>
        <w:mirrorIndents/>
        <w:jc w:val="both"/>
        <w:rPr>
          <w:rFonts w:eastAsia="Times New Roman" w:cstheme="minorHAnsi"/>
        </w:rPr>
      </w:pPr>
    </w:p>
    <w:p w14:paraId="36D95809" w14:textId="77777777" w:rsidR="00D70D43" w:rsidRPr="00693AF3" w:rsidRDefault="00D70D43" w:rsidP="002E38A2">
      <w:pPr>
        <w:numPr>
          <w:ilvl w:val="0"/>
          <w:numId w:val="10"/>
        </w:numPr>
        <w:spacing w:before="120"/>
        <w:ind w:right="-432"/>
        <w:contextualSpacing/>
        <w:mirrorIndents/>
        <w:jc w:val="both"/>
        <w:rPr>
          <w:rFonts w:eastAsia="Times New Roman" w:cstheme="minorHAnsi"/>
        </w:rPr>
      </w:pPr>
      <w:r w:rsidRPr="008F00A0">
        <w:rPr>
          <w:rFonts w:eastAsia="MS Mincho" w:cstheme="minorHAnsi"/>
          <w:b/>
          <w:lang w:val="en-GB" w:eastAsia="x-none"/>
        </w:rPr>
        <w:t>Training and Workshops.</w:t>
      </w:r>
      <w:r w:rsidRPr="008F00A0">
        <w:rPr>
          <w:rFonts w:eastAsia="MS Mincho" w:cstheme="minorHAnsi"/>
          <w:lang w:val="en-GB" w:eastAsia="x-none"/>
        </w:rPr>
        <w:t xml:space="preserve"> The Project will finance training and workshops, if required, based on an annual training plan and budget which shall be submitted to the Bank for its prior review and approval. The annual training plan will identify, inter alia: (i) the training envisaged; (ii) the justification for the training; (iii) the personnel to be trained; (iv) the duration for such training; and (v) the estimated cost of the training. At the time of the actual training, the request shall be submitted to the Bank for review and approval. Upon completion of the training, the trainees shall be required to prepare and submit a report on the training received.</w:t>
      </w:r>
    </w:p>
    <w:p w14:paraId="4B131049" w14:textId="77777777" w:rsidR="00D70D43" w:rsidRDefault="00D70D43" w:rsidP="00D70D43">
      <w:pPr>
        <w:pStyle w:val="ListParagraph"/>
        <w:rPr>
          <w:rFonts w:eastAsia="Times New Roman" w:cstheme="minorHAnsi"/>
        </w:rPr>
      </w:pPr>
    </w:p>
    <w:p w14:paraId="35649125" w14:textId="77777777" w:rsidR="00D70D43" w:rsidRDefault="00D70D43" w:rsidP="00D70D43">
      <w:pPr>
        <w:rPr>
          <w:rFonts w:eastAsia="Times New Roman" w:cstheme="minorHAnsi"/>
        </w:rPr>
      </w:pPr>
      <w:r>
        <w:rPr>
          <w:rFonts w:eastAsia="Times New Roman" w:cstheme="minorHAnsi"/>
        </w:rPr>
        <w:br w:type="page"/>
      </w:r>
    </w:p>
    <w:p w14:paraId="6E20FD00" w14:textId="30A1E8EE" w:rsidR="00D70D43" w:rsidRPr="003D145F" w:rsidRDefault="00D70D43" w:rsidP="00D70D43">
      <w:pPr>
        <w:jc w:val="center"/>
        <w:rPr>
          <w:rFonts w:eastAsia="Calibri" w:cstheme="minorHAnsi"/>
          <w:b/>
          <w:i/>
        </w:rPr>
      </w:pPr>
      <w:bookmarkStart w:id="19" w:name="_Hlk531274091"/>
      <w:r w:rsidRPr="003D145F">
        <w:rPr>
          <w:rFonts w:eastAsia="Calibri" w:cstheme="minorHAnsi"/>
          <w:b/>
          <w:i/>
        </w:rPr>
        <w:lastRenderedPageBreak/>
        <w:t xml:space="preserve">ANNEX </w:t>
      </w:r>
      <w:r w:rsidR="002E38A2">
        <w:rPr>
          <w:rFonts w:eastAsia="Calibri" w:cstheme="minorHAnsi"/>
          <w:b/>
          <w:i/>
        </w:rPr>
        <w:t>1</w:t>
      </w:r>
      <w:r w:rsidRPr="003D145F">
        <w:rPr>
          <w:rFonts w:eastAsia="Calibri" w:cstheme="minorHAnsi"/>
          <w:b/>
          <w:i/>
        </w:rPr>
        <w:t xml:space="preserve"> B:  PROJECT DESCRIPTION FOR GHANA </w:t>
      </w:r>
      <w:bookmarkStart w:id="20" w:name="_Hlk531193395"/>
      <w:r w:rsidRPr="003D145F">
        <w:rPr>
          <w:rFonts w:eastAsia="Calibri" w:cstheme="minorHAnsi"/>
          <w:b/>
          <w:i/>
        </w:rPr>
        <w:t>(GEF ID: 9851)</w:t>
      </w:r>
      <w:bookmarkEnd w:id="19"/>
      <w:bookmarkEnd w:id="20"/>
    </w:p>
    <w:p w14:paraId="74756F34" w14:textId="77777777" w:rsidR="002E38A2" w:rsidRDefault="00D70D43" w:rsidP="00D70D43">
      <w:pPr>
        <w:keepNext/>
        <w:ind w:left="-432" w:right="-432"/>
        <w:jc w:val="center"/>
        <w:rPr>
          <w:rFonts w:eastAsia="Calibri" w:cstheme="minorHAnsi"/>
          <w:b/>
        </w:rPr>
      </w:pPr>
      <w:r w:rsidRPr="003D145F">
        <w:rPr>
          <w:rFonts w:eastAsia="Calibri" w:cstheme="minorHAnsi"/>
          <w:b/>
        </w:rPr>
        <w:t xml:space="preserve">PROPOSED GLOBAL ENVIRONMENT FACILITY GRANT </w:t>
      </w:r>
    </w:p>
    <w:p w14:paraId="0296CA90" w14:textId="68D953EC" w:rsidR="00D70D43" w:rsidRDefault="00D70D43" w:rsidP="00D70D43">
      <w:pPr>
        <w:keepNext/>
        <w:ind w:left="-432" w:right="-432"/>
        <w:jc w:val="center"/>
        <w:rPr>
          <w:rFonts w:eastAsia="Calibri" w:cstheme="minorHAnsi"/>
          <w:b/>
        </w:rPr>
      </w:pPr>
      <w:r w:rsidRPr="003D145F">
        <w:rPr>
          <w:rFonts w:eastAsia="Calibri" w:cstheme="minorHAnsi"/>
          <w:b/>
        </w:rPr>
        <w:t xml:space="preserve">TO THE REPUBLIC OF GHANA </w:t>
      </w:r>
    </w:p>
    <w:p w14:paraId="6DE5969B" w14:textId="77777777" w:rsidR="00D70D43" w:rsidRPr="003D145F" w:rsidRDefault="00D70D43" w:rsidP="00D70D43">
      <w:pPr>
        <w:keepNext/>
        <w:ind w:left="-432" w:right="-432"/>
        <w:jc w:val="center"/>
        <w:rPr>
          <w:rFonts w:eastAsia="Calibri" w:cstheme="minorHAnsi"/>
          <w:b/>
        </w:rPr>
      </w:pPr>
      <w:r w:rsidRPr="003D145F">
        <w:rPr>
          <w:rFonts w:eastAsia="Calibri" w:cstheme="minorHAnsi"/>
          <w:b/>
        </w:rPr>
        <w:t>IN THE AMOUNT OF US$ 8,715,596</w:t>
      </w:r>
    </w:p>
    <w:p w14:paraId="1BCF9D2B" w14:textId="77777777" w:rsidR="00D70D43" w:rsidRPr="00266369" w:rsidRDefault="00D70D43" w:rsidP="00D70D43">
      <w:pPr>
        <w:jc w:val="both"/>
        <w:rPr>
          <w:rFonts w:ascii="Calibri" w:eastAsia="Times New Roman" w:hAnsi="Calibri" w:cs="Calibri"/>
          <w:b/>
        </w:rPr>
      </w:pPr>
      <w:r w:rsidRPr="00266369">
        <w:rPr>
          <w:rFonts w:ascii="Calibri" w:eastAsia="Times New Roman" w:hAnsi="Calibri" w:cs="Calibri"/>
          <w:b/>
        </w:rPr>
        <w:t xml:space="preserve">STRATEGIC CONTEXT </w:t>
      </w:r>
    </w:p>
    <w:p w14:paraId="06CD318C" w14:textId="77777777" w:rsidR="00D70D43" w:rsidRPr="00266369" w:rsidRDefault="00D70D43" w:rsidP="00D70D43">
      <w:pPr>
        <w:jc w:val="both"/>
        <w:rPr>
          <w:rFonts w:ascii="Calibri" w:eastAsia="Times New Roman" w:hAnsi="Calibri" w:cs="Calibri"/>
          <w:b/>
        </w:rPr>
      </w:pPr>
      <w:r w:rsidRPr="00266369">
        <w:rPr>
          <w:rFonts w:ascii="Calibri" w:eastAsia="Times New Roman" w:hAnsi="Calibri" w:cs="Calibri"/>
          <w:b/>
        </w:rPr>
        <w:t>A – Country Context</w:t>
      </w:r>
    </w:p>
    <w:p w14:paraId="08F280CF"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w:t>
      </w:r>
      <w:r w:rsidRPr="00266369">
        <w:rPr>
          <w:rFonts w:ascii="Calibri" w:eastAsia="Times New Roman" w:hAnsi="Calibri" w:cs="Calibri"/>
        </w:rPr>
        <w:tab/>
      </w:r>
      <w:r w:rsidRPr="001827A1">
        <w:rPr>
          <w:rFonts w:ascii="Calibri" w:eastAsia="Times New Roman" w:hAnsi="Calibri" w:cs="Calibri"/>
          <w:b/>
        </w:rPr>
        <w:t>Artisanal and Small-scale Gold Mining (ASGM):</w:t>
      </w:r>
      <w:r w:rsidRPr="00266369">
        <w:rPr>
          <w:rFonts w:ascii="Calibri" w:eastAsia="Times New Roman" w:hAnsi="Calibri" w:cs="Calibri"/>
        </w:rPr>
        <w:t xml:space="preserve"> Ghana is Africa's second largest gold producer. The mining industry accounts for 5% of the country's Gross Domestic Product (GDP) and minerals make up 37% of total exports, of which gold contributes over 90% of the total mineral exports.  Further, it is estimated that at least 3 people are depending on Artisanal and Small-scale Mining (ASGM) for every person directly involved in ASGM.  Given this large multiplier effect, ASGM has the potential to contribute to employment generation and poverty alleviation, especially in rural areas.  It can be a traditional livelihood activity, a full-time source of employment, or a season specific part-time job and can include migrant people, local communities with a longstanding history of mining, school children in between breaks (or drop-outs), and people from all walks of life.  However, unplanned and unregulated ASGM has generally left a legacy of severe adverse (and irreversible) environmental, health, economic, and social impacts, often affecting disproportionately the poorest</w:t>
      </w:r>
      <w:r>
        <w:rPr>
          <w:rFonts w:ascii="Calibri" w:eastAsia="Times New Roman" w:hAnsi="Calibri" w:cs="Calibri"/>
        </w:rPr>
        <w:t>.</w:t>
      </w:r>
      <w:r>
        <w:rPr>
          <w:rStyle w:val="FootnoteReference"/>
          <w:rFonts w:ascii="Calibri" w:eastAsia="Times New Roman" w:hAnsi="Calibri" w:cs="Calibri"/>
        </w:rPr>
        <w:footnoteReference w:id="28"/>
      </w:r>
      <w:r w:rsidRPr="00266369">
        <w:rPr>
          <w:rFonts w:ascii="Calibri" w:eastAsia="Times New Roman" w:hAnsi="Calibri" w:cs="Calibri"/>
        </w:rPr>
        <w:t xml:space="preserve"> and most vulnerable communities.  This undoubtedly keeps these ASGM workers trapped in a vicious cycle of increasing poverty, worsening quality of life, degrading and threatening natural resources, and vulnerability.</w:t>
      </w:r>
    </w:p>
    <w:p w14:paraId="5A443A79"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2.</w:t>
      </w:r>
      <w:r w:rsidRPr="00266369">
        <w:rPr>
          <w:rFonts w:ascii="Calibri" w:eastAsia="Times New Roman" w:hAnsi="Calibri" w:cs="Calibri"/>
        </w:rPr>
        <w:tab/>
      </w:r>
      <w:r w:rsidRPr="001827A1">
        <w:rPr>
          <w:rFonts w:ascii="Calibri" w:eastAsia="Times New Roman" w:hAnsi="Calibri" w:cs="Calibri"/>
          <w:b/>
        </w:rPr>
        <w:t>Electronic Waste (e-Waste):</w:t>
      </w:r>
      <w:r w:rsidRPr="00266369">
        <w:rPr>
          <w:rFonts w:ascii="Calibri" w:eastAsia="Times New Roman" w:hAnsi="Calibri" w:cs="Calibri"/>
        </w:rPr>
        <w:t xml:space="preserve"> The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e-waste site (15 acres), located on the west side of the </w:t>
      </w:r>
      <w:proofErr w:type="spellStart"/>
      <w:r w:rsidRPr="00266369">
        <w:rPr>
          <w:rFonts w:ascii="Calibri" w:eastAsia="Times New Roman" w:hAnsi="Calibri" w:cs="Calibri"/>
        </w:rPr>
        <w:t>Odaw</w:t>
      </w:r>
      <w:proofErr w:type="spellEnd"/>
      <w:r w:rsidRPr="00266369">
        <w:rPr>
          <w:rFonts w:ascii="Calibri" w:eastAsia="Times New Roman" w:hAnsi="Calibri" w:cs="Calibri"/>
        </w:rPr>
        <w:t xml:space="preserve"> River in the city of Accra, is the largest center for e-waste recycling and disposal in Ghana.  It is estimated 6,300 – 9,600 people are working in the informal sector, with a dependent population of between 121,000 – 201,600.  The refurbishing and repair sector </w:t>
      </w:r>
      <w:proofErr w:type="gramStart"/>
      <w:r w:rsidRPr="00266369">
        <w:rPr>
          <w:rFonts w:ascii="Calibri" w:eastAsia="Times New Roman" w:hAnsi="Calibri" w:cs="Calibri"/>
        </w:rPr>
        <w:t>has</w:t>
      </w:r>
      <w:proofErr w:type="gramEnd"/>
      <w:r w:rsidRPr="00266369">
        <w:rPr>
          <w:rFonts w:ascii="Calibri" w:eastAsia="Times New Roman" w:hAnsi="Calibri" w:cs="Calibri"/>
        </w:rPr>
        <w:t xml:space="preserve"> been found to be partially formalized.  It is estimated that about 20% of all refurbishing / repair businesses might be formally registered.  Collection, disassembly, material recovery and final disposal take place entirely in the informal sector.  It is estimated that about 20,000 to 42,500 people </w:t>
      </w:r>
      <w:r>
        <w:rPr>
          <w:rStyle w:val="FootnoteReference"/>
          <w:rFonts w:ascii="Calibri" w:eastAsia="Times New Roman" w:hAnsi="Calibri" w:cs="Calibri"/>
        </w:rPr>
        <w:footnoteReference w:id="29"/>
      </w:r>
      <w:r w:rsidRPr="00266369">
        <w:rPr>
          <w:rFonts w:ascii="Calibri" w:eastAsia="Times New Roman" w:hAnsi="Calibri" w:cs="Calibri"/>
        </w:rPr>
        <w:t xml:space="preserve"> are employed in the refurbishing and e-waste recycling sector in Ghana, constituting about 0.2% to 0.4% of the total labor force in Ghana.  This implies that about 182,520 to 258,180 people in Ghana are partially or fully dependent on refurbishing and e-waste recycling operations, representing about 0.72% to 1.02% of the total Ghanaian population (25.37 million). </w:t>
      </w:r>
    </w:p>
    <w:p w14:paraId="0684136B" w14:textId="77777777" w:rsidR="00D70D43" w:rsidRDefault="00D70D43" w:rsidP="00D70D43">
      <w:pPr>
        <w:ind w:hanging="450"/>
        <w:jc w:val="both"/>
        <w:rPr>
          <w:rFonts w:ascii="Calibri" w:eastAsia="Times New Roman" w:hAnsi="Calibri" w:cs="Calibri"/>
        </w:rPr>
      </w:pPr>
      <w:r w:rsidRPr="00266369">
        <w:rPr>
          <w:rFonts w:ascii="Calibri" w:eastAsia="Times New Roman" w:hAnsi="Calibri" w:cs="Calibri"/>
        </w:rPr>
        <w:t>3.</w:t>
      </w:r>
      <w:r w:rsidRPr="00266369">
        <w:rPr>
          <w:rFonts w:ascii="Calibri" w:eastAsia="Times New Roman" w:hAnsi="Calibri" w:cs="Calibri"/>
        </w:rPr>
        <w:tab/>
        <w:t xml:space="preserve">The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site is a heavily industrialized area that consists of scattered recyclers working out of small sheds and in the open.  Car parts, heavy machinery, refrigerators, and other industrial and residential equipment are brought in and disassembled for economic value.  Remnants of disassembled machinery litter the area and the soil is heavily stained with industrial oils.  A large residential community primarily housing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workers and their families consisting of small informal settlements with little electricity and running water.  Work at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is done on a large scale by manual disassembly of e-</w:t>
      </w:r>
      <w:r w:rsidRPr="00266369">
        <w:rPr>
          <w:rFonts w:ascii="Calibri" w:eastAsia="Times New Roman" w:hAnsi="Calibri" w:cs="Calibri"/>
        </w:rPr>
        <w:lastRenderedPageBreak/>
        <w:t>waste parts and by burning other items such as computer wires and refrigerator coils to recover profitable metals such as copper and aluminum that are covered with plastic encasements. Dismantling and burning are performed by young adults using handmade tools and without protection.</w:t>
      </w:r>
      <w:r>
        <w:rPr>
          <w:rStyle w:val="FootnoteReference"/>
          <w:rFonts w:ascii="Calibri" w:eastAsia="Times New Roman" w:hAnsi="Calibri" w:cs="Calibri"/>
        </w:rPr>
        <w:footnoteReference w:id="30"/>
      </w:r>
      <w:r w:rsidRPr="00266369">
        <w:rPr>
          <w:rFonts w:ascii="Calibri" w:eastAsia="Times New Roman" w:hAnsi="Calibri" w:cs="Calibri"/>
        </w:rPr>
        <w:t xml:space="preserve">  These activities expose them to toxic fumes and to chemical hazards that may lead to respiratory diseases.</w:t>
      </w:r>
    </w:p>
    <w:p w14:paraId="13E9B316"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4.</w:t>
      </w:r>
      <w:r w:rsidRPr="00266369">
        <w:rPr>
          <w:rFonts w:ascii="Calibri" w:eastAsia="Times New Roman" w:hAnsi="Calibri" w:cs="Calibri"/>
        </w:rPr>
        <w:tab/>
        <w:t xml:space="preserve">When e-waste is burnt, toxic substances controlled under the Stockholm Convention such as Unintentional Persistent Organic Pollutants (UPOPs) are generated and </w:t>
      </w:r>
      <w:proofErr w:type="spellStart"/>
      <w:r w:rsidRPr="00266369">
        <w:rPr>
          <w:rFonts w:ascii="Calibri" w:eastAsia="Times New Roman" w:hAnsi="Calibri" w:cs="Calibri"/>
        </w:rPr>
        <w:t>Polybromodiphenyl</w:t>
      </w:r>
      <w:proofErr w:type="spellEnd"/>
      <w:r w:rsidRPr="00266369">
        <w:rPr>
          <w:rFonts w:ascii="Calibri" w:eastAsia="Times New Roman" w:hAnsi="Calibri" w:cs="Calibri"/>
        </w:rPr>
        <w:t xml:space="preserve"> Ethers (PBDEs) are released.  Soil and ash samples from burning sites in </w:t>
      </w:r>
      <w:proofErr w:type="spellStart"/>
      <w:r w:rsidRPr="00266369">
        <w:rPr>
          <w:rFonts w:ascii="Calibri" w:eastAsia="Times New Roman" w:hAnsi="Calibri" w:cs="Calibri"/>
        </w:rPr>
        <w:t>Agbogbloshie</w:t>
      </w:r>
      <w:proofErr w:type="spellEnd"/>
      <w:r w:rsidRPr="00266369">
        <w:rPr>
          <w:rFonts w:ascii="Calibri" w:eastAsia="Times New Roman" w:hAnsi="Calibri" w:cs="Calibri"/>
        </w:rPr>
        <w:t xml:space="preserve"> showed copper, lead, tin, and zinc concentrations over one hundred times higher than typical background levels.  Concentrations of antimony and cadmium exceeded typical background soil levels by around fifty times for antimony and five times for cadmium.</w:t>
      </w:r>
      <w:r>
        <w:rPr>
          <w:rStyle w:val="FootnoteReference"/>
          <w:rFonts w:ascii="Calibri" w:eastAsia="Times New Roman" w:hAnsi="Calibri" w:cs="Calibri"/>
        </w:rPr>
        <w:footnoteReference w:id="31"/>
      </w:r>
      <w:r w:rsidRPr="00266369">
        <w:rPr>
          <w:rFonts w:ascii="Calibri" w:eastAsia="Times New Roman" w:hAnsi="Calibri" w:cs="Calibri"/>
        </w:rPr>
        <w:t xml:space="preserve">  Burning of plastic covering and shielding from wires and coils creates substantial airborne emissions.  Since most of recycling sites include extensive support facilities such as housing, fresh food markets and food preparation, chemical exposure goes beyond workers.  Potential impacts of contaminants on soil could result from release of heavy metals such as zinc, lead, iron, and copper into the soil and its effect on soil organisms and nutrients.  Run-off from contaminated sites into nearby </w:t>
      </w:r>
      <w:proofErr w:type="spellStart"/>
      <w:r w:rsidRPr="00266369">
        <w:rPr>
          <w:rFonts w:ascii="Calibri" w:eastAsia="Times New Roman" w:hAnsi="Calibri" w:cs="Calibri"/>
        </w:rPr>
        <w:t>Odaw</w:t>
      </w:r>
      <w:proofErr w:type="spellEnd"/>
      <w:r w:rsidRPr="00266369">
        <w:rPr>
          <w:rFonts w:ascii="Calibri" w:eastAsia="Times New Roman" w:hAnsi="Calibri" w:cs="Calibri"/>
        </w:rPr>
        <w:t xml:space="preserve"> stream and Korle Lagoon could impact the quality of surface water and may impact the aquatic ecosystems and associated food chains.  Leaching of heavy metals into the ground water could lead to severe health effects. </w:t>
      </w:r>
    </w:p>
    <w:p w14:paraId="078803D9"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5.</w:t>
      </w:r>
      <w:r w:rsidRPr="00266369">
        <w:rPr>
          <w:rFonts w:ascii="Calibri" w:eastAsia="Times New Roman" w:hAnsi="Calibri" w:cs="Calibri"/>
        </w:rPr>
        <w:tab/>
        <w:t xml:space="preserve">According to the study conducted by </w:t>
      </w:r>
      <w:proofErr w:type="spellStart"/>
      <w:r w:rsidRPr="00266369">
        <w:rPr>
          <w:rFonts w:ascii="Calibri" w:eastAsia="Times New Roman" w:hAnsi="Calibri" w:cs="Calibri"/>
        </w:rPr>
        <w:t>Caravanos</w:t>
      </w:r>
      <w:proofErr w:type="spellEnd"/>
      <w:r w:rsidRPr="00266369">
        <w:rPr>
          <w:rFonts w:ascii="Calibri" w:eastAsia="Times New Roman" w:hAnsi="Calibri" w:cs="Calibri"/>
        </w:rPr>
        <w:t xml:space="preserve">, Jack, et al. (2011), collected soil samples indicate that the e-waste recycling and disposal process in Ghana has caused lead contamination in both ambient air and topsoil that may have detrimental health effects. The rudimentary recycling has caused substantial damage to the health of scavengers and local environment.  Atmospheric pollution due to burning and dismantling of electrical/electronic waste is one of the significant causes for occupational exposure and contamination of neighboring communities.  Combustion typically generates smaller particles and consequently, fine particulate matter (PM2.5; strongly implicated in pulmonary and cardiovascular diseases); scrap yard workers are also exposed to PBDEs and dioxins associated with these fine particles. </w:t>
      </w:r>
    </w:p>
    <w:p w14:paraId="08085FCC"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6.</w:t>
      </w:r>
      <w:r w:rsidRPr="00266369">
        <w:rPr>
          <w:rFonts w:ascii="Calibri" w:eastAsia="Times New Roman" w:hAnsi="Calibri" w:cs="Calibri"/>
        </w:rPr>
        <w:tab/>
        <w:t xml:space="preserve">Leaching and evaporation of these toxic substances occurs at the e-waste sites and results in the contamination of surrounding natural resources including the river </w:t>
      </w:r>
      <w:proofErr w:type="spellStart"/>
      <w:r w:rsidRPr="00266369">
        <w:rPr>
          <w:rFonts w:ascii="Calibri" w:eastAsia="Times New Roman" w:hAnsi="Calibri" w:cs="Calibri"/>
        </w:rPr>
        <w:t>Odaw</w:t>
      </w:r>
      <w:proofErr w:type="spellEnd"/>
      <w:r w:rsidRPr="00266369">
        <w:rPr>
          <w:rFonts w:ascii="Calibri" w:eastAsia="Times New Roman" w:hAnsi="Calibri" w:cs="Calibri"/>
        </w:rPr>
        <w:t>, soils, crops, drinking water, livestock and fish.</w:t>
      </w:r>
      <w:r>
        <w:rPr>
          <w:rStyle w:val="FootnoteReference"/>
          <w:rFonts w:ascii="Calibri" w:eastAsia="Times New Roman" w:hAnsi="Calibri" w:cs="Calibri"/>
        </w:rPr>
        <w:footnoteReference w:id="32"/>
      </w:r>
      <w:r w:rsidRPr="00266369">
        <w:rPr>
          <w:rFonts w:ascii="Calibri" w:eastAsia="Times New Roman" w:hAnsi="Calibri" w:cs="Calibri"/>
        </w:rPr>
        <w:t xml:space="preserve">  Public awareness of the hazardous nature of e-waste is low and along with economic factors, results in the use of low end or crude waste management techniques, which are highly polluting.  Enforcement of regulations is also challenging due to the diversity and variety of e-waste streams, scattered sources, unregulated imports and the large informal workforce.  Additionally, lack of reliable data (i.e., inventory information on toxic substances like PBDEs production, importation and usage, difficulty in incentivization) poses a challenge to design an e-waste management strategy and to an industry wishing to make rational investment decisions. </w:t>
      </w:r>
    </w:p>
    <w:p w14:paraId="444FBEEB" w14:textId="77777777" w:rsidR="00D70D43" w:rsidRPr="002673AF" w:rsidRDefault="00D70D43" w:rsidP="00D70D43">
      <w:pPr>
        <w:jc w:val="both"/>
        <w:rPr>
          <w:rFonts w:ascii="Calibri" w:eastAsia="Times New Roman" w:hAnsi="Calibri" w:cs="Calibri"/>
          <w:b/>
        </w:rPr>
      </w:pPr>
      <w:r w:rsidRPr="002673AF">
        <w:rPr>
          <w:rFonts w:ascii="Calibri" w:eastAsia="Times New Roman" w:hAnsi="Calibri" w:cs="Calibri"/>
          <w:b/>
        </w:rPr>
        <w:t>B – Sectoral and Institutional Context</w:t>
      </w:r>
    </w:p>
    <w:p w14:paraId="425C24D9"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lastRenderedPageBreak/>
        <w:t>7.</w:t>
      </w:r>
      <w:r w:rsidRPr="00266369">
        <w:rPr>
          <w:rFonts w:ascii="Calibri" w:eastAsia="Times New Roman" w:hAnsi="Calibri" w:cs="Calibri"/>
        </w:rPr>
        <w:tab/>
      </w:r>
      <w:r w:rsidRPr="00D70EC7">
        <w:rPr>
          <w:rFonts w:ascii="Calibri" w:eastAsia="Times New Roman" w:hAnsi="Calibri" w:cs="Calibri"/>
          <w:b/>
        </w:rPr>
        <w:t>Mercury and Mining:</w:t>
      </w:r>
      <w:r w:rsidRPr="00266369">
        <w:rPr>
          <w:rFonts w:ascii="Calibri" w:eastAsia="Times New Roman" w:hAnsi="Calibri" w:cs="Calibri"/>
        </w:rPr>
        <w:t xml:space="preserve"> In Ghana, the single most important mercury emission source is from the ASGM sector. In 2011, 19.26 Mt of mercury were imported into Ghana. In 2012, it dropped to 9.6 Mt, dropping even further to 2.5 Mt in 2013.</w:t>
      </w:r>
      <w:r>
        <w:rPr>
          <w:rStyle w:val="FootnoteReference"/>
          <w:rFonts w:ascii="Calibri" w:eastAsia="Times New Roman" w:hAnsi="Calibri" w:cs="Calibri"/>
        </w:rPr>
        <w:footnoteReference w:id="33"/>
      </w:r>
      <w:r w:rsidRPr="00266369">
        <w:rPr>
          <w:rFonts w:ascii="Calibri" w:eastAsia="Times New Roman" w:hAnsi="Calibri" w:cs="Calibri"/>
        </w:rPr>
        <w:t xml:space="preserve"> However, these figures do not necessarily equate to a drop-in usage of mercury, as gold export from the ASGM sector has only been increasing year after year: it nearly doubled within two years, from 2010 to 2012 (1.4 million ounces in 2012, 1.0 million ounces in 2011 and 767,696 ounces in 2010). As no new technologies have really been introduced to replace mercury in the extraction of gold, there must be other avenues (i.e., black market) available. </w:t>
      </w:r>
      <w:proofErr w:type="spellStart"/>
      <w:r w:rsidRPr="00266369">
        <w:rPr>
          <w:rFonts w:ascii="Calibri" w:eastAsia="Times New Roman" w:hAnsi="Calibri" w:cs="Calibri"/>
        </w:rPr>
        <w:t>Veiga</w:t>
      </w:r>
      <w:proofErr w:type="spellEnd"/>
      <w:r w:rsidRPr="00266369">
        <w:rPr>
          <w:rFonts w:ascii="Calibri" w:eastAsia="Times New Roman" w:hAnsi="Calibri" w:cs="Calibri"/>
        </w:rPr>
        <w:t xml:space="preserve"> and Baker (2004) estimated that for every gram of gold produced, in ASGM, at least two grams of mercury are emitted into the atmosphere.  However, various authors also point out that this ratio is very variable dependent upon practice, and there are cases where it has been as much as 100:1. When this ratio is compared to the quantity of gold exported by the Ghanaian ASGM sector in 2012 (1.4 million ounces) approximately 30-60Mt of mercury could have been lost to air, if the entire ASGM sector were using mercury for gold extraction.  According to the results of a survey conducted by </w:t>
      </w:r>
      <w:proofErr w:type="spellStart"/>
      <w:r w:rsidRPr="00266369">
        <w:rPr>
          <w:rFonts w:ascii="Calibri" w:eastAsia="Times New Roman" w:hAnsi="Calibri" w:cs="Calibri"/>
        </w:rPr>
        <w:t>Amegbey</w:t>
      </w:r>
      <w:proofErr w:type="spellEnd"/>
      <w:r w:rsidRPr="00266369">
        <w:rPr>
          <w:rFonts w:ascii="Calibri" w:eastAsia="Times New Roman" w:hAnsi="Calibri" w:cs="Calibri"/>
        </w:rPr>
        <w:t xml:space="preserve"> and </w:t>
      </w:r>
      <w:proofErr w:type="spellStart"/>
      <w:r w:rsidRPr="00266369">
        <w:rPr>
          <w:rFonts w:ascii="Calibri" w:eastAsia="Times New Roman" w:hAnsi="Calibri" w:cs="Calibri"/>
        </w:rPr>
        <w:t>Eshun</w:t>
      </w:r>
      <w:proofErr w:type="spellEnd"/>
      <w:r w:rsidRPr="00266369">
        <w:rPr>
          <w:rFonts w:ascii="Calibri" w:eastAsia="Times New Roman" w:hAnsi="Calibri" w:cs="Calibri"/>
        </w:rPr>
        <w:t xml:space="preserve"> (2003) on mercury use in ASGM in Ghana: 1) 70% is most often stored on site; 2) 90% is nearly always handled without gloves; and 3) 98% is typically heated in open air.</w:t>
      </w:r>
    </w:p>
    <w:p w14:paraId="63FE6CC0"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8.</w:t>
      </w:r>
      <w:r w:rsidRPr="00266369">
        <w:rPr>
          <w:rFonts w:ascii="Calibri" w:eastAsia="Times New Roman" w:hAnsi="Calibri" w:cs="Calibri"/>
        </w:rPr>
        <w:tab/>
        <w:t xml:space="preserve">Literature available on the toxicity of mercury to people involved with ASGM has been well studied in Ghana and some evidence does indicate that ASGM-related mercury contamination is contributing to serious health, ecological, and economic impacts in the country.  Studies have shown that the health of the miners and other people living within the area affected by mercury contamination may be negatively affected through inhalation of mercury vapor or contaminated dusts, direct contact with mercury, through eating fish and other food, and through the ingestion of waters and soils affected by the mercury contamination.  In Ghana, as mandated by the 1989 Mercury Law, mercury is officially sold through registered ASGM operators and licensed traders who </w:t>
      </w:r>
      <w:proofErr w:type="gramStart"/>
      <w:r w:rsidRPr="00266369">
        <w:rPr>
          <w:rFonts w:ascii="Calibri" w:eastAsia="Times New Roman" w:hAnsi="Calibri" w:cs="Calibri"/>
        </w:rPr>
        <w:t>are allowed to</w:t>
      </w:r>
      <w:proofErr w:type="gramEnd"/>
      <w:r w:rsidRPr="00266369">
        <w:rPr>
          <w:rFonts w:ascii="Calibri" w:eastAsia="Times New Roman" w:hAnsi="Calibri" w:cs="Calibri"/>
        </w:rPr>
        <w:t xml:space="preserve"> purchase mercury to process or refine gold from the Precious Minerals Marketing Company (PMMC).  The Mercury Law directly stipulates good mining practices in the use of mercury; however, it does not include any specific guidelines in terms of handling and disposing of mercury (</w:t>
      </w:r>
      <w:proofErr w:type="spellStart"/>
      <w:r w:rsidRPr="00266369">
        <w:rPr>
          <w:rFonts w:ascii="Calibri" w:eastAsia="Times New Roman" w:hAnsi="Calibri" w:cs="Calibri"/>
        </w:rPr>
        <w:t>Amegbey</w:t>
      </w:r>
      <w:proofErr w:type="spellEnd"/>
      <w:r w:rsidRPr="00266369">
        <w:rPr>
          <w:rFonts w:ascii="Calibri" w:eastAsia="Times New Roman" w:hAnsi="Calibri" w:cs="Calibri"/>
        </w:rPr>
        <w:t xml:space="preserve"> and </w:t>
      </w:r>
      <w:proofErr w:type="spellStart"/>
      <w:r w:rsidRPr="00266369">
        <w:rPr>
          <w:rFonts w:ascii="Calibri" w:eastAsia="Times New Roman" w:hAnsi="Calibri" w:cs="Calibri"/>
        </w:rPr>
        <w:t>Eshun</w:t>
      </w:r>
      <w:proofErr w:type="spellEnd"/>
      <w:r w:rsidRPr="00266369">
        <w:rPr>
          <w:rFonts w:ascii="Calibri" w:eastAsia="Times New Roman" w:hAnsi="Calibri" w:cs="Calibri"/>
        </w:rPr>
        <w:t xml:space="preserve">, 2003).  The law allows for the use of mercury by </w:t>
      </w:r>
      <w:proofErr w:type="gramStart"/>
      <w:r w:rsidRPr="00266369">
        <w:rPr>
          <w:rFonts w:ascii="Calibri" w:eastAsia="Times New Roman" w:hAnsi="Calibri" w:cs="Calibri"/>
        </w:rPr>
        <w:t>ASGM</w:t>
      </w:r>
      <w:proofErr w:type="gramEnd"/>
      <w:r w:rsidRPr="00266369">
        <w:rPr>
          <w:rFonts w:ascii="Calibri" w:eastAsia="Times New Roman" w:hAnsi="Calibri" w:cs="Calibri"/>
        </w:rPr>
        <w:t xml:space="preserve"> but it lacks any clear oversight responsibility to ensure compliance, for purchase or ultimate use and disposal.  This makes compliance and monitoring very difficult.  In 2013, data from the EPA indicate that up to 5,000 ASGM sites, across the country, have been approved by the agency.  But there is a lack of institutional technical capacity to provide adequate assistance to assess impacts or enforce compliance, especially at the local and regional levels due to sheer numbers of ASGM miners and locations.</w:t>
      </w:r>
    </w:p>
    <w:p w14:paraId="329EEC60"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9.</w:t>
      </w:r>
      <w:r w:rsidRPr="00266369">
        <w:rPr>
          <w:rFonts w:ascii="Calibri" w:eastAsia="Times New Roman" w:hAnsi="Calibri" w:cs="Calibri"/>
        </w:rPr>
        <w:tab/>
        <w:t xml:space="preserve">Ghana became signatory to the Minamata Convention on September 24, 2014 and ratified the Convention on 23 March 2017 becoming a full Party of the Convention. The fifty-ratification milestone was reached on 18 May 2017, hence the Convention entered into force on 16 August 2017.  While there is recognition that the use of mercury has serious environmental and health consequences, there are limited resources to demonstrate cleaner alternative technologies </w:t>
      </w:r>
      <w:proofErr w:type="gramStart"/>
      <w:r w:rsidRPr="00266369">
        <w:rPr>
          <w:rFonts w:ascii="Calibri" w:eastAsia="Times New Roman" w:hAnsi="Calibri" w:cs="Calibri"/>
        </w:rPr>
        <w:t>and also</w:t>
      </w:r>
      <w:proofErr w:type="gramEnd"/>
      <w:r w:rsidRPr="00266369">
        <w:rPr>
          <w:rFonts w:ascii="Calibri" w:eastAsia="Times New Roman" w:hAnsi="Calibri" w:cs="Calibri"/>
        </w:rPr>
        <w:t xml:space="preserve"> exhibit clean and feasible practices related to mine closure as mandated in the Mining policy.</w:t>
      </w:r>
    </w:p>
    <w:p w14:paraId="15DEE490"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10.</w:t>
      </w:r>
      <w:r w:rsidRPr="00266369">
        <w:rPr>
          <w:rFonts w:ascii="Calibri" w:eastAsia="Times New Roman" w:hAnsi="Calibri" w:cs="Calibri"/>
        </w:rPr>
        <w:tab/>
        <w:t xml:space="preserve">This proposed project will build on the country’s Minamata Initial Assessment (MIA) and the related National Action Plan (NAP), including by supporting progress in some of the following areas: (1) </w:t>
      </w:r>
      <w:r w:rsidRPr="00266369">
        <w:rPr>
          <w:rFonts w:ascii="Calibri" w:eastAsia="Times New Roman" w:hAnsi="Calibri" w:cs="Calibri"/>
        </w:rPr>
        <w:lastRenderedPageBreak/>
        <w:t xml:space="preserve">establishing a national mercury management governance structure; (2) reviewing existing mercury related national policy and institutional arrangements; (3) disseminating environmental and health risk information to national target groups; and (4) developing a national mercury profile and setting priority area of intervention.  </w:t>
      </w:r>
    </w:p>
    <w:p w14:paraId="22F318F1"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11.</w:t>
      </w:r>
      <w:r w:rsidRPr="00266369">
        <w:rPr>
          <w:rFonts w:ascii="Calibri" w:eastAsia="Times New Roman" w:hAnsi="Calibri" w:cs="Calibri"/>
        </w:rPr>
        <w:tab/>
      </w:r>
      <w:r w:rsidRPr="001E60C6">
        <w:rPr>
          <w:rFonts w:ascii="Calibri" w:eastAsia="Times New Roman" w:hAnsi="Calibri" w:cs="Calibri"/>
          <w:b/>
        </w:rPr>
        <w:t>Electronic Waste:</w:t>
      </w:r>
      <w:r w:rsidRPr="00266369">
        <w:rPr>
          <w:rFonts w:ascii="Calibri" w:eastAsia="Times New Roman" w:hAnsi="Calibri" w:cs="Calibri"/>
        </w:rPr>
        <w:t xml:space="preserve"> The global e-waste trade is growing exponentially. A study commissioned by the World Bank</w:t>
      </w:r>
      <w:r>
        <w:rPr>
          <w:rStyle w:val="FootnoteReference"/>
          <w:rFonts w:ascii="Calibri" w:eastAsia="Times New Roman" w:hAnsi="Calibri" w:cs="Calibri"/>
        </w:rPr>
        <w:footnoteReference w:id="34"/>
      </w:r>
      <w:r w:rsidRPr="00266369">
        <w:rPr>
          <w:rFonts w:ascii="Calibri" w:eastAsia="Times New Roman" w:hAnsi="Calibri" w:cs="Calibri"/>
        </w:rPr>
        <w:t xml:space="preserve"> indicates that Ghana, Kenya, and Nigeria have the highest levels of e-waste in the region due to their growing involvement in ICT imports, recycling, and refurbishing.  A key characteristic about the advancements in ICT in Ghana is the increased dependence on used or refurbished products, due mainly due to financial considerations. Countries such as Senegal and Uganda can expect e-waste flows from computers alone to increase four- to eightfold by 2020</w:t>
      </w:r>
      <w:r>
        <w:rPr>
          <w:rFonts w:ascii="Calibri" w:eastAsia="Times New Roman" w:hAnsi="Calibri" w:cs="Calibri"/>
        </w:rPr>
        <w:t>.</w:t>
      </w:r>
      <w:r>
        <w:rPr>
          <w:rStyle w:val="FootnoteReference"/>
          <w:rFonts w:ascii="Calibri" w:eastAsia="Times New Roman" w:hAnsi="Calibri" w:cs="Calibri"/>
        </w:rPr>
        <w:footnoteReference w:id="35"/>
      </w:r>
      <w:r w:rsidRPr="00266369">
        <w:rPr>
          <w:rFonts w:ascii="Calibri" w:eastAsia="Times New Roman" w:hAnsi="Calibri" w:cs="Calibri"/>
        </w:rPr>
        <w:t xml:space="preserve">  </w:t>
      </w:r>
    </w:p>
    <w:p w14:paraId="6310AAF8"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12.</w:t>
      </w:r>
      <w:r w:rsidRPr="00266369">
        <w:rPr>
          <w:rFonts w:ascii="Calibri" w:eastAsia="Times New Roman" w:hAnsi="Calibri" w:cs="Calibri"/>
        </w:rPr>
        <w:tab/>
      </w:r>
      <w:r w:rsidRPr="001E60C6">
        <w:rPr>
          <w:rFonts w:ascii="Calibri" w:eastAsia="Times New Roman" w:hAnsi="Calibri" w:cs="Calibri"/>
          <w:b/>
        </w:rPr>
        <w:t>Policies and Institutions:</w:t>
      </w:r>
      <w:r w:rsidRPr="00266369">
        <w:rPr>
          <w:rFonts w:ascii="Calibri" w:eastAsia="Times New Roman" w:hAnsi="Calibri" w:cs="Calibri"/>
        </w:rPr>
        <w:t xml:space="preserve"> In Ghana, The Ministry of Environment, Science, Technology, and Innovation has the overall sector responsibility for policy development. EPA is the regulatory and enforc</w:t>
      </w:r>
      <w:r>
        <w:rPr>
          <w:rFonts w:ascii="Calibri" w:eastAsia="Times New Roman" w:hAnsi="Calibri" w:cs="Calibri"/>
        </w:rPr>
        <w:t>e</w:t>
      </w:r>
      <w:r w:rsidRPr="00266369">
        <w:rPr>
          <w:rFonts w:ascii="Calibri" w:eastAsia="Times New Roman" w:hAnsi="Calibri" w:cs="Calibri"/>
        </w:rPr>
        <w:t xml:space="preserve">ment body. The Environmental Assessment Regulations of 1999 refer to the issue of mining “undertakings” stating that those involving metal and nonmetal mines must be registered and issued with an environmental permit. The environmental impact assessment (EIA) is mandatory for the mining and processing of minerals in areas where the mining lease covers a total area of more than 10 hectares. The current laws guiding the management of hazardous, solid and radioactive waste including the local Government Act (1994), Act 462 and Environmental Sanitation Policy of Ghana (1999) were passed before the e-waste problems emerged. The use of mercury is regulated by the Mercury law (1989) which recognizes that the use of mercury has serious health and environmental consequences. However, institutional capacity, for monitoring and enforcement for compliance remains very weak. Ghana has established the Mineral Development Fund as a mechanism both to finance mining agencies and transfer a share of the royalties back to the mining communities, but it failed to reinvest in rehabilitation activities in communities most affected by the mining activities. In summary, the principle shortcomings in the institutional arena concerning chemicals management and prevention of human health risks are as follows. </w:t>
      </w:r>
    </w:p>
    <w:p w14:paraId="117BC8A2" w14:textId="77777777" w:rsidR="00D70D43" w:rsidRPr="00266369" w:rsidRDefault="00D70D43" w:rsidP="00D70D43">
      <w:pPr>
        <w:ind w:hanging="450"/>
        <w:jc w:val="both"/>
        <w:rPr>
          <w:rFonts w:ascii="Calibri" w:eastAsia="Times New Roman" w:hAnsi="Calibri" w:cs="Calibri"/>
        </w:rPr>
      </w:pPr>
      <w:r w:rsidRPr="00266369">
        <w:rPr>
          <w:rFonts w:ascii="Calibri" w:eastAsia="Times New Roman" w:hAnsi="Calibri" w:cs="Calibri"/>
        </w:rPr>
        <w:t>13.</w:t>
      </w:r>
      <w:r w:rsidRPr="00266369">
        <w:rPr>
          <w:rFonts w:ascii="Calibri" w:eastAsia="Times New Roman" w:hAnsi="Calibri" w:cs="Calibri"/>
        </w:rPr>
        <w:tab/>
        <w:t xml:space="preserve">Public policies are missing the economic ‘translation’ </w:t>
      </w:r>
      <w:r>
        <w:rPr>
          <w:rStyle w:val="FootnoteReference"/>
          <w:rFonts w:ascii="Calibri" w:eastAsia="Times New Roman" w:hAnsi="Calibri" w:cs="Calibri"/>
        </w:rPr>
        <w:footnoteReference w:id="36"/>
      </w:r>
      <w:r w:rsidRPr="00266369">
        <w:rPr>
          <w:rFonts w:ascii="Calibri" w:eastAsia="Times New Roman" w:hAnsi="Calibri" w:cs="Calibri"/>
        </w:rPr>
        <w:t xml:space="preserve"> of health effects of the use chemicals that allows these effects to be better integrated into political and financial decision-making. There are no specific policies on chemicals management to ensure recognition of chemicals management as a national priority, and for mainstreaming into national development plans and development strategies.  The functional organization and institutional capacity and staff capabilities are incompatible with the needs for robust reporting on chemical incidences and managing a comprehensive inventory of chemicals and chemical wastes, and to ultimately reduce their environmental and health effects across sectors and users. Private sector has little incentives to engage and participate along with civil society and governments in discussions and decisions regarding chemicals management.  There is no comprehensive national data on chemicals or adequate monitoring of chemical residues, nor on environment and human impacts. Lack of up-to-date information systems has made informed decision making difficult. Often there are overlaps and incompatibility in the existing national legislation, conflicting institutional functions, and interests, </w:t>
      </w:r>
      <w:r w:rsidRPr="00266369">
        <w:rPr>
          <w:rFonts w:ascii="Calibri" w:eastAsia="Times New Roman" w:hAnsi="Calibri" w:cs="Calibri"/>
        </w:rPr>
        <w:lastRenderedPageBreak/>
        <w:t xml:space="preserve">competing sector priorities and low level of public awareness on issues related to chemical management which impairs a policy shift. </w:t>
      </w:r>
    </w:p>
    <w:p w14:paraId="54CCAED7" w14:textId="77777777" w:rsidR="00D70D43" w:rsidRPr="00266369" w:rsidRDefault="00D70D43" w:rsidP="00D70D43">
      <w:pPr>
        <w:ind w:hanging="450"/>
        <w:jc w:val="both"/>
        <w:rPr>
          <w:rFonts w:ascii="Calibri" w:eastAsia="Times New Roman" w:hAnsi="Calibri" w:cs="Calibri"/>
          <w:b/>
        </w:rPr>
      </w:pPr>
      <w:r w:rsidRPr="00266369">
        <w:rPr>
          <w:rFonts w:ascii="Calibri" w:eastAsia="Times New Roman" w:hAnsi="Calibri" w:cs="Calibri"/>
          <w:b/>
        </w:rPr>
        <w:t>C – Relevance to Higher Level Objectives</w:t>
      </w:r>
    </w:p>
    <w:p w14:paraId="30A3E68C" w14:textId="35C11445" w:rsidR="007E4CFA" w:rsidRDefault="00D70D43" w:rsidP="007E4CFA">
      <w:pPr>
        <w:ind w:hanging="450"/>
        <w:jc w:val="both"/>
        <w:rPr>
          <w:rFonts w:ascii="Calibri" w:eastAsia="Times New Roman" w:hAnsi="Calibri" w:cs="Calibri"/>
        </w:rPr>
      </w:pPr>
      <w:r w:rsidRPr="00266369">
        <w:rPr>
          <w:rFonts w:ascii="Calibri" w:eastAsia="Times New Roman" w:hAnsi="Calibri" w:cs="Calibri"/>
        </w:rPr>
        <w:t>14.</w:t>
      </w:r>
      <w:r w:rsidRPr="00266369">
        <w:rPr>
          <w:rFonts w:ascii="Calibri" w:eastAsia="Times New Roman" w:hAnsi="Calibri" w:cs="Calibri"/>
        </w:rPr>
        <w:tab/>
        <w:t xml:space="preserve">The proposed project is well aligned with the FY13-18 Country Partnership Framework. </w:t>
      </w:r>
      <w:r w:rsidR="0053259E" w:rsidRPr="00167E53">
        <w:rPr>
          <w:rFonts w:ascii="Calibri" w:hAnsi="Calibri" w:cs="Calibri"/>
        </w:rPr>
        <w:t>A new Country Partnership Framework (CPF) is under preparation and is expected to be discussed by the end of 20</w:t>
      </w:r>
      <w:r w:rsidR="0053259E">
        <w:rPr>
          <w:rFonts w:ascii="Calibri" w:hAnsi="Calibri" w:cs="Calibri"/>
        </w:rPr>
        <w:t>20</w:t>
      </w:r>
      <w:r w:rsidR="0053259E" w:rsidRPr="00167E53">
        <w:rPr>
          <w:rFonts w:ascii="Calibri" w:hAnsi="Calibri" w:cs="Calibri"/>
        </w:rPr>
        <w:t>.</w:t>
      </w:r>
      <w:r w:rsidR="0053259E">
        <w:rPr>
          <w:rFonts w:ascii="Calibri" w:hAnsi="Calibri" w:cs="Calibri"/>
        </w:rPr>
        <w:t xml:space="preserve"> </w:t>
      </w:r>
      <w:r w:rsidRPr="00266369">
        <w:rPr>
          <w:rFonts w:ascii="Calibri" w:eastAsia="Times New Roman" w:hAnsi="Calibri" w:cs="Calibri"/>
        </w:rPr>
        <w:t>More specifically, the proposed operation will contribute to (1) improving economic institutions by improving artisanal practices of small-scale miners and venue collection practices that have lagged as the mining sector, and thereby enhancing management of natural resources. Additionally, the project will contribute to (2) improving competitiveness through increased adoption of new mining technologies, improved land and water management, improved access to education/knowledge about more efficient, safer, and environmentally friendly techniques, improved mobility of goods; and (3) protecting the poor and vulnerable through social protection, improved maternal and child health, labor practice, and access to improved water supply and sanitation</w:t>
      </w:r>
      <w:r w:rsidR="007E4CFA">
        <w:rPr>
          <w:rFonts w:ascii="Calibri" w:eastAsia="Times New Roman" w:hAnsi="Calibri" w:cs="Calibri"/>
        </w:rPr>
        <w:t xml:space="preserve">. </w:t>
      </w:r>
    </w:p>
    <w:p w14:paraId="62DD987A" w14:textId="4EDA8818" w:rsidR="009A40F0" w:rsidRPr="009A40F0" w:rsidRDefault="009A40F0" w:rsidP="007E4CFA">
      <w:pPr>
        <w:jc w:val="both"/>
        <w:rPr>
          <w:rFonts w:ascii="Calibri" w:eastAsia="Times New Roman" w:hAnsi="Calibri" w:cs="Calibri"/>
        </w:rPr>
      </w:pPr>
      <w:r w:rsidRPr="009A40F0">
        <w:rPr>
          <w:rFonts w:cstheme="minorHAnsi"/>
          <w:bCs/>
        </w:rPr>
        <w:t>The project will contribute to the</w:t>
      </w:r>
      <w:r w:rsidRPr="009A40F0">
        <w:rPr>
          <w:rFonts w:cstheme="minorHAnsi"/>
          <w:b/>
          <w:bCs/>
        </w:rPr>
        <w:t xml:space="preserve"> </w:t>
      </w:r>
      <w:r w:rsidRPr="009A40F0">
        <w:rPr>
          <w:rFonts w:cstheme="minorHAnsi"/>
          <w:bCs/>
        </w:rPr>
        <w:t>GEF 6 Chemicals and Waste Focal Area Strategy</w:t>
      </w:r>
      <w:r w:rsidRPr="009A40F0">
        <w:rPr>
          <w:rFonts w:cstheme="minorHAnsi"/>
          <w:b/>
          <w:bCs/>
        </w:rPr>
        <w:t xml:space="preserve"> </w:t>
      </w:r>
      <w:r w:rsidRPr="009A40F0">
        <w:rPr>
          <w:rFonts w:cstheme="minorHAnsi"/>
          <w:bCs/>
        </w:rPr>
        <w:t xml:space="preserve">that aims “to prevent the exposure of humans and the environment to harmful chemicals and waste of global importance including POPs, mercury and ozone depleting substances.”  The project will be implemented in synergy with other ongoing projects and initiatives supporting the environmental health agenda in Africa. Principal among these projects are the </w:t>
      </w:r>
      <w:r w:rsidRPr="009A40F0">
        <w:rPr>
          <w:rFonts w:cstheme="minorHAnsi"/>
          <w:bCs/>
          <w:i/>
        </w:rPr>
        <w:t>GEF Knowledge Exchange and Institutional Partnerships to Reduce Environmental Health Risks from Exposure to Harmful Chemicals and Waste</w:t>
      </w:r>
      <w:r w:rsidRPr="009A40F0">
        <w:rPr>
          <w:rFonts w:cstheme="minorHAnsi"/>
          <w:bCs/>
        </w:rPr>
        <w:t xml:space="preserve"> (BETF, P166233)</w:t>
      </w:r>
      <w:r w:rsidRPr="009A40F0">
        <w:rPr>
          <w:rFonts w:cstheme="minorHAnsi"/>
        </w:rPr>
        <w:t>.</w:t>
      </w:r>
    </w:p>
    <w:p w14:paraId="27FCDDAE" w14:textId="77777777" w:rsidR="00E41008" w:rsidRDefault="00E41008" w:rsidP="00D70D43">
      <w:pPr>
        <w:keepNext/>
        <w:jc w:val="both"/>
        <w:rPr>
          <w:rFonts w:cstheme="minorHAnsi"/>
          <w:b/>
          <w:color w:val="000000" w:themeColor="text1"/>
        </w:rPr>
      </w:pPr>
    </w:p>
    <w:p w14:paraId="3F02591A" w14:textId="5E3B6775" w:rsidR="00D70D43" w:rsidRPr="00923CCF" w:rsidRDefault="00D70D43" w:rsidP="00D70D43">
      <w:pPr>
        <w:keepNext/>
        <w:jc w:val="both"/>
        <w:rPr>
          <w:rFonts w:cstheme="minorHAnsi"/>
          <w:b/>
          <w:color w:val="000000" w:themeColor="text1"/>
        </w:rPr>
      </w:pPr>
      <w:r>
        <w:rPr>
          <w:rFonts w:cstheme="minorHAnsi"/>
          <w:b/>
          <w:color w:val="000000" w:themeColor="text1"/>
        </w:rPr>
        <w:t>PROJECT DESCRIPTION</w:t>
      </w:r>
    </w:p>
    <w:p w14:paraId="47E07C3E" w14:textId="7965F8CF" w:rsidR="00D70D43" w:rsidRPr="00E41008" w:rsidRDefault="00D70D43" w:rsidP="00E41008">
      <w:pPr>
        <w:keepNext/>
        <w:jc w:val="both"/>
        <w:rPr>
          <w:rFonts w:cstheme="minorHAnsi"/>
          <w:b/>
          <w:color w:val="000000" w:themeColor="text1"/>
        </w:rPr>
      </w:pPr>
      <w:r w:rsidRPr="00923CCF">
        <w:rPr>
          <w:rFonts w:cstheme="minorHAnsi"/>
          <w:b/>
          <w:color w:val="000000" w:themeColor="text1"/>
        </w:rPr>
        <w:t xml:space="preserve">A – </w:t>
      </w:r>
      <w:r>
        <w:rPr>
          <w:rFonts w:cstheme="minorHAnsi"/>
          <w:b/>
          <w:color w:val="000000" w:themeColor="text1"/>
        </w:rPr>
        <w:t>Project Development Objective</w:t>
      </w:r>
    </w:p>
    <w:p w14:paraId="0A0B3875" w14:textId="77777777" w:rsidR="00D70D43" w:rsidRPr="00AE07C1" w:rsidRDefault="00D70D43" w:rsidP="002E38A2">
      <w:pPr>
        <w:pStyle w:val="ListParagraph"/>
        <w:widowControl w:val="0"/>
        <w:numPr>
          <w:ilvl w:val="0"/>
          <w:numId w:val="19"/>
        </w:numPr>
        <w:autoSpaceDE w:val="0"/>
        <w:autoSpaceDN w:val="0"/>
        <w:adjustRightInd w:val="0"/>
        <w:spacing w:after="120" w:line="240" w:lineRule="auto"/>
        <w:ind w:left="0" w:hanging="450"/>
        <w:jc w:val="both"/>
        <w:rPr>
          <w:rFonts w:cstheme="minorHAnsi"/>
          <w:color w:val="000000" w:themeColor="text1"/>
        </w:rPr>
      </w:pPr>
      <w:bookmarkStart w:id="21" w:name="_Hlk531026123"/>
      <w:r w:rsidRPr="00AE07C1">
        <w:rPr>
          <w:rFonts w:cstheme="minorHAnsi"/>
          <w:color w:val="000000" w:themeColor="text1"/>
        </w:rPr>
        <w:t xml:space="preserve">The Project Development Objective (PDO) is to reduce exposure to mercury and </w:t>
      </w:r>
      <w:proofErr w:type="spellStart"/>
      <w:r w:rsidRPr="00AE07C1">
        <w:rPr>
          <w:rFonts w:cstheme="minorHAnsi"/>
          <w:color w:val="000000" w:themeColor="text1"/>
        </w:rPr>
        <w:t>uPOPs</w:t>
      </w:r>
      <w:proofErr w:type="spellEnd"/>
      <w:r w:rsidRPr="00AE07C1">
        <w:rPr>
          <w:rFonts w:cstheme="minorHAnsi"/>
          <w:color w:val="000000" w:themeColor="text1"/>
        </w:rPr>
        <w:t xml:space="preserve"> pollution </w:t>
      </w:r>
      <w:r>
        <w:rPr>
          <w:rFonts w:cstheme="minorHAnsi"/>
          <w:bCs/>
        </w:rPr>
        <w:t xml:space="preserve">in pilot sites </w:t>
      </w:r>
      <w:r w:rsidRPr="00AE07C1">
        <w:rPr>
          <w:rFonts w:cstheme="minorHAnsi"/>
          <w:color w:val="000000" w:themeColor="text1"/>
        </w:rPr>
        <w:t>and strengthen the institutional capacity to manage and regulate mercury use in artisanal small-scale gold mining (ASGM) and e-waste in</w:t>
      </w:r>
      <w:r w:rsidRPr="00AE07C1">
        <w:rPr>
          <w:noProof/>
          <w:szCs w:val="18"/>
        </w:rPr>
        <w:t xml:space="preserve"> Ghana.</w:t>
      </w:r>
    </w:p>
    <w:bookmarkEnd w:id="21"/>
    <w:p w14:paraId="00F6BEF3" w14:textId="77777777" w:rsidR="00CC01EE" w:rsidRDefault="00CC01EE" w:rsidP="00D70D43">
      <w:pPr>
        <w:keepNext/>
        <w:jc w:val="both"/>
        <w:rPr>
          <w:rFonts w:cstheme="minorHAnsi"/>
          <w:b/>
          <w:color w:val="000000" w:themeColor="text1"/>
        </w:rPr>
      </w:pPr>
    </w:p>
    <w:p w14:paraId="3B79CD0D" w14:textId="2AAB194F" w:rsidR="00D70D43" w:rsidRDefault="00D70D43" w:rsidP="00D70D43">
      <w:pPr>
        <w:keepNext/>
        <w:jc w:val="both"/>
        <w:rPr>
          <w:rFonts w:cstheme="minorHAnsi"/>
          <w:b/>
          <w:color w:val="000000" w:themeColor="text1"/>
        </w:rPr>
      </w:pPr>
      <w:r w:rsidRPr="008222E7">
        <w:rPr>
          <w:rFonts w:cstheme="minorHAnsi"/>
          <w:b/>
          <w:color w:val="000000" w:themeColor="text1"/>
        </w:rPr>
        <w:t>B – Pro</w:t>
      </w:r>
      <w:r>
        <w:rPr>
          <w:rFonts w:cstheme="minorHAnsi"/>
          <w:b/>
          <w:color w:val="000000" w:themeColor="text1"/>
        </w:rPr>
        <w:t>ject Components</w:t>
      </w:r>
    </w:p>
    <w:p w14:paraId="4ABC487C" w14:textId="77777777" w:rsidR="00D70D43" w:rsidRPr="00AE07C1" w:rsidRDefault="00D70D43" w:rsidP="002E38A2">
      <w:pPr>
        <w:pStyle w:val="ListParagraph"/>
        <w:numPr>
          <w:ilvl w:val="0"/>
          <w:numId w:val="19"/>
        </w:numPr>
        <w:ind w:left="0" w:hanging="450"/>
        <w:jc w:val="both"/>
        <w:rPr>
          <w:rFonts w:ascii="Calibri" w:eastAsia="Times New Roman" w:hAnsi="Calibri" w:cs="Calibri"/>
        </w:rPr>
      </w:pPr>
      <w:r w:rsidRPr="00AE07C1">
        <w:rPr>
          <w:rFonts w:ascii="Calibri" w:eastAsia="Calibri" w:hAnsi="Calibri" w:cs="Calibri"/>
          <w:b/>
          <w:lang w:val="en-GB"/>
        </w:rPr>
        <w:t xml:space="preserve">Component 1: Institutional strengthening, capacity building and knowledge sharing (US$ 1.9 million). </w:t>
      </w:r>
      <w:r w:rsidRPr="00AE07C1">
        <w:rPr>
          <w:rFonts w:ascii="Calibri" w:eastAsia="Times New Roman" w:hAnsi="Calibri" w:cs="Calibri"/>
        </w:rPr>
        <w:t>The component will strengthen the knowledge and capacity base of public institutions and private stakeholders to address environmental health risks associated with mercury use in ASGM sector and POPs/UPOPs releases from e-waste.</w:t>
      </w:r>
    </w:p>
    <w:p w14:paraId="343591F1" w14:textId="77777777" w:rsidR="00D70D43" w:rsidRPr="00B67E81" w:rsidRDefault="00D70D43" w:rsidP="00D70D43">
      <w:pPr>
        <w:ind w:left="3"/>
        <w:jc w:val="both"/>
        <w:rPr>
          <w:rFonts w:ascii="Calibri" w:eastAsia="Times New Roman" w:hAnsi="Calibri" w:cs="Calibri"/>
        </w:rPr>
      </w:pPr>
      <w:r w:rsidRPr="00B67E81">
        <w:rPr>
          <w:rFonts w:ascii="Calibri" w:eastAsia="Times New Roman" w:hAnsi="Calibri" w:cs="Calibri"/>
          <w:i/>
        </w:rPr>
        <w:t>Sub-component 1.1: Mercury management in ASGM</w:t>
      </w:r>
    </w:p>
    <w:p w14:paraId="062C9CAD" w14:textId="77777777" w:rsidR="00D70D43" w:rsidRDefault="00D70D43" w:rsidP="002E38A2">
      <w:pPr>
        <w:numPr>
          <w:ilvl w:val="0"/>
          <w:numId w:val="19"/>
        </w:numPr>
        <w:ind w:left="0" w:hanging="450"/>
        <w:jc w:val="both"/>
        <w:rPr>
          <w:rFonts w:ascii="Calibri" w:eastAsia="Times New Roman" w:hAnsi="Calibri" w:cs="Calibri"/>
        </w:rPr>
      </w:pPr>
      <w:r w:rsidRPr="00B67E81">
        <w:rPr>
          <w:rFonts w:ascii="Calibri" w:eastAsia="Times New Roman" w:hAnsi="Calibri" w:cs="Calibri"/>
        </w:rPr>
        <w:t xml:space="preserve">The </w:t>
      </w:r>
      <w:r>
        <w:rPr>
          <w:rFonts w:ascii="Calibri" w:eastAsia="Times New Roman" w:hAnsi="Calibri" w:cs="Calibri"/>
        </w:rPr>
        <w:t>c</w:t>
      </w:r>
      <w:r w:rsidRPr="00B67E81">
        <w:rPr>
          <w:rFonts w:ascii="Calibri" w:eastAsia="Times New Roman" w:hAnsi="Calibri" w:cs="Calibri"/>
        </w:rPr>
        <w:t xml:space="preserve">omponent will enhance the capacity of institutions and other mercury stakeholders in Ghana to address environmental health risks associated with mercury use in ASGM sector and </w:t>
      </w:r>
      <w:r w:rsidRPr="00B95DA7">
        <w:rPr>
          <w:rFonts w:ascii="Calibri" w:eastAsia="Times New Roman" w:hAnsi="Calibri" w:cs="Calibri"/>
        </w:rPr>
        <w:t>support the successful implementation of the Minamata Convention.</w:t>
      </w:r>
      <w:r w:rsidRPr="00B67E81">
        <w:rPr>
          <w:rFonts w:ascii="Calibri" w:eastAsia="Times New Roman" w:hAnsi="Calibri" w:cs="Calibri"/>
        </w:rPr>
        <w:t xml:space="preserve">  Key beneficiary institutions will include the Environmental Protection Agency (EPA), Ministry of Environment, Science, Technology and Innovation </w:t>
      </w:r>
      <w:r w:rsidRPr="00B67E81">
        <w:rPr>
          <w:rFonts w:ascii="Calibri" w:eastAsia="Times New Roman" w:hAnsi="Calibri" w:cs="Calibri"/>
        </w:rPr>
        <w:lastRenderedPageBreak/>
        <w:t xml:space="preserve">(MESTI), the Ministry of Lands and Natural Resources (MLNR), Minerals Commission (MC), Ministry of Health, Ghana Health Service (GHS), </w:t>
      </w:r>
      <w:r w:rsidRPr="00920402">
        <w:rPr>
          <w:rFonts w:ascii="Calibri" w:eastAsia="Times New Roman" w:hAnsi="Calibri" w:cs="Calibri"/>
        </w:rPr>
        <w:t xml:space="preserve">Ministry of Trade </w:t>
      </w:r>
      <w:r>
        <w:rPr>
          <w:rFonts w:ascii="Calibri" w:eastAsia="Times New Roman" w:hAnsi="Calibri" w:cs="Calibri"/>
        </w:rPr>
        <w:t>and</w:t>
      </w:r>
      <w:r w:rsidRPr="00920402">
        <w:rPr>
          <w:rFonts w:ascii="Calibri" w:eastAsia="Times New Roman" w:hAnsi="Calibri" w:cs="Calibri"/>
        </w:rPr>
        <w:t xml:space="preserve"> Industry (MOTI), </w:t>
      </w:r>
      <w:r>
        <w:rPr>
          <w:rFonts w:ascii="Calibri" w:eastAsia="Times New Roman" w:hAnsi="Calibri" w:cs="Calibri"/>
        </w:rPr>
        <w:t xml:space="preserve">Ministry of Information, and </w:t>
      </w:r>
      <w:r w:rsidRPr="00B67E81">
        <w:rPr>
          <w:rFonts w:ascii="Calibri" w:eastAsia="Times New Roman" w:hAnsi="Calibri" w:cs="Calibri"/>
        </w:rPr>
        <w:t xml:space="preserve">Information Services Department, as well as the national Minamata Convention Steering Committee.  The </w:t>
      </w:r>
      <w:r>
        <w:rPr>
          <w:rFonts w:ascii="Calibri" w:eastAsia="Times New Roman" w:hAnsi="Calibri" w:cs="Calibri"/>
        </w:rPr>
        <w:t>c</w:t>
      </w:r>
      <w:r w:rsidRPr="00B67E81">
        <w:rPr>
          <w:rFonts w:ascii="Calibri" w:eastAsia="Times New Roman" w:hAnsi="Calibri" w:cs="Calibri"/>
        </w:rPr>
        <w:t>omponent will also engage with small-scale miner associations to raise awareness on environmental health risks and how to address them via safer mercury handling and cleaner technologies in ASGM.</w:t>
      </w:r>
    </w:p>
    <w:p w14:paraId="78834F51" w14:textId="77777777" w:rsidR="00D70D43" w:rsidRDefault="00D70D43" w:rsidP="002E38A2">
      <w:pPr>
        <w:numPr>
          <w:ilvl w:val="0"/>
          <w:numId w:val="19"/>
        </w:numPr>
        <w:ind w:left="0" w:hanging="450"/>
        <w:jc w:val="both"/>
        <w:rPr>
          <w:rFonts w:ascii="Calibri" w:eastAsia="Times New Roman" w:hAnsi="Calibri" w:cs="Calibri"/>
        </w:rPr>
      </w:pPr>
      <w:r w:rsidRPr="0060613E">
        <w:rPr>
          <w:rFonts w:ascii="Calibri" w:eastAsia="Times New Roman" w:hAnsi="Calibri" w:cs="Calibri"/>
          <w:i/>
          <w:u w:val="single"/>
        </w:rPr>
        <w:t>Capacity for monitoring and decision-making for mercury management:</w:t>
      </w:r>
      <w:r w:rsidRPr="0060613E">
        <w:rPr>
          <w:rFonts w:ascii="Calibri" w:eastAsia="Times New Roman" w:hAnsi="Calibri" w:cs="Calibri"/>
        </w:rPr>
        <w:t xml:space="preserve"> The </w:t>
      </w:r>
      <w:r w:rsidRPr="00637367">
        <w:rPr>
          <w:rFonts w:ascii="Calibri" w:eastAsia="Times New Roman" w:hAnsi="Calibri" w:cs="Calibri"/>
          <w:i/>
        </w:rPr>
        <w:t>Minamata Convention on Mercury Initial Assessment for Ghana</w:t>
      </w:r>
      <w:r w:rsidRPr="0060613E">
        <w:rPr>
          <w:rFonts w:ascii="Calibri" w:eastAsia="Times New Roman" w:hAnsi="Calibri" w:cs="Calibri"/>
        </w:rPr>
        <w:t xml:space="preserve">, completed in 2018, identified institutional capacity gaps on mercury inventory and identification.  The Project will support METI, EPA, </w:t>
      </w:r>
      <w:r>
        <w:rPr>
          <w:rFonts w:ascii="Calibri" w:eastAsia="Times New Roman" w:hAnsi="Calibri" w:cs="Calibri"/>
        </w:rPr>
        <w:t xml:space="preserve">and </w:t>
      </w:r>
      <w:r w:rsidRPr="0060613E">
        <w:rPr>
          <w:rFonts w:ascii="Calibri" w:eastAsia="Times New Roman" w:hAnsi="Calibri" w:cs="Calibri"/>
        </w:rPr>
        <w:t>MC and finance the compilation of a National Mercury Inventory (NMI) database for Ghana.  The NMI will cover import and export, trade, stockpiles and supply, production and uses, releases and emissions, and allow for tracking of mercury material flow.  Alongside the NMI, other data will be collected, including the list of mercury import permits, to facilitate at all time compliance monitoring and enforcement.  This will constitute the preliminary version of a National Mercury Management Information System (NMMIS), which could, in future, aggregate more information and facilitate data visualization and interpretation (e.g., production of hotspot maps).  The Project will also strengthen capacity for updating the NMI (e.g., expand information quality and coverage, regular monitoring) and exploiting the database (e.g., setting priorities and reduction targets</w:t>
      </w:r>
      <w:r>
        <w:rPr>
          <w:rFonts w:ascii="Calibri" w:eastAsia="Times New Roman" w:hAnsi="Calibri" w:cs="Calibri"/>
        </w:rPr>
        <w:t>, understanding illegal trade, or reporting to the Convention</w:t>
      </w:r>
      <w:r w:rsidRPr="0060613E">
        <w:rPr>
          <w:rFonts w:ascii="Calibri" w:eastAsia="Times New Roman" w:hAnsi="Calibri" w:cs="Calibri"/>
        </w:rPr>
        <w:t xml:space="preserve">). </w:t>
      </w:r>
    </w:p>
    <w:p w14:paraId="6086D8A6" w14:textId="77777777" w:rsidR="00D70D43" w:rsidRPr="00637367" w:rsidRDefault="00D70D43" w:rsidP="002E38A2">
      <w:pPr>
        <w:numPr>
          <w:ilvl w:val="0"/>
          <w:numId w:val="19"/>
        </w:numPr>
        <w:ind w:left="0" w:hanging="450"/>
        <w:jc w:val="both"/>
        <w:rPr>
          <w:rFonts w:ascii="Calibri" w:eastAsia="Times New Roman" w:hAnsi="Calibri" w:cs="Calibri"/>
        </w:rPr>
      </w:pPr>
      <w:r>
        <w:rPr>
          <w:rFonts w:ascii="Calibri" w:eastAsia="Times New Roman" w:hAnsi="Calibri" w:cs="Calibri"/>
          <w:i/>
          <w:u w:val="single"/>
        </w:rPr>
        <w:t>Citizen</w:t>
      </w:r>
      <w:r w:rsidRPr="00797E81">
        <w:rPr>
          <w:rFonts w:ascii="Calibri" w:eastAsia="Times New Roman" w:hAnsi="Calibri" w:cs="Calibri"/>
          <w:i/>
          <w:u w:val="single"/>
        </w:rPr>
        <w:t xml:space="preserve"> engagement:</w:t>
      </w:r>
      <w:r w:rsidRPr="00797E81">
        <w:rPr>
          <w:rFonts w:ascii="Calibri" w:eastAsia="Times New Roman" w:hAnsi="Calibri" w:cs="Calibri"/>
          <w:i/>
        </w:rPr>
        <w:t xml:space="preserve"> </w:t>
      </w:r>
      <w:r w:rsidRPr="00797E81">
        <w:rPr>
          <w:rFonts w:ascii="Calibri" w:eastAsia="Times New Roman" w:hAnsi="Calibri" w:cs="Calibri"/>
        </w:rPr>
        <w:t xml:space="preserve">The Project will support a comprehensive mapping of the mercury ecosystem in Ghana, to assess the stakeholders along the mercury supply-demand </w:t>
      </w:r>
      <w:r>
        <w:rPr>
          <w:rFonts w:ascii="Calibri" w:eastAsia="Times New Roman" w:hAnsi="Calibri" w:cs="Calibri"/>
        </w:rPr>
        <w:t>value-</w:t>
      </w:r>
      <w:r w:rsidRPr="00797E81">
        <w:rPr>
          <w:rFonts w:ascii="Calibri" w:eastAsia="Times New Roman" w:hAnsi="Calibri" w:cs="Calibri"/>
        </w:rPr>
        <w:t xml:space="preserve">chain.  For each stakeholder category, this assessment will describe its role and determine at what level (local, regional, national, international) it interacts with the supply-demand </w:t>
      </w:r>
      <w:r>
        <w:rPr>
          <w:rFonts w:ascii="Calibri" w:eastAsia="Times New Roman" w:hAnsi="Calibri" w:cs="Calibri"/>
        </w:rPr>
        <w:t>value-</w:t>
      </w:r>
      <w:r w:rsidRPr="00797E81">
        <w:rPr>
          <w:rFonts w:ascii="Calibri" w:eastAsia="Times New Roman" w:hAnsi="Calibri" w:cs="Calibri"/>
        </w:rPr>
        <w:t>chain.  This assessment will also identify the barriers and needed interventions to encourage stakeholders reducing use and release of mercury, and exposure to, as well as transitioning to mercury-free techniques.  Based on this assessment, an outreach/communication strategy will be designed to raise awareness on the environmental health risk of mercury mismanagement, change mindset towards cleaner practices and technologies, and build consensus on the Government’s program.</w:t>
      </w:r>
      <w:r>
        <w:rPr>
          <w:rFonts w:ascii="Calibri" w:eastAsia="Times New Roman" w:hAnsi="Calibri" w:cs="Calibri"/>
        </w:rPr>
        <w:t xml:space="preserve">  The Project will also support the implementation of this outreach/communication strategy, in particular with respect to (i) raising awareness of health impacts and solutions in mining communities; (ii) engaging with local governments, to support and guide project implementation on the ground and collect feedback; and (iii) training media on health risks </w:t>
      </w:r>
      <w:r w:rsidRPr="00725CAE">
        <w:rPr>
          <w:rFonts w:cstheme="minorHAnsi"/>
        </w:rPr>
        <w:t xml:space="preserve">but also positive </w:t>
      </w:r>
      <w:r w:rsidRPr="00637367">
        <w:rPr>
          <w:rFonts w:cstheme="minorHAnsi"/>
        </w:rPr>
        <w:t>developments and successful pilots in addressing mercury management in ASGM.</w:t>
      </w:r>
    </w:p>
    <w:p w14:paraId="30324CD2" w14:textId="77777777" w:rsidR="00D70D43" w:rsidRPr="00E52F0D" w:rsidRDefault="00D70D43" w:rsidP="002E38A2">
      <w:pPr>
        <w:numPr>
          <w:ilvl w:val="0"/>
          <w:numId w:val="19"/>
        </w:numPr>
        <w:ind w:left="0" w:hanging="450"/>
        <w:jc w:val="both"/>
        <w:rPr>
          <w:rFonts w:ascii="Calibri" w:eastAsia="Times New Roman" w:hAnsi="Calibri" w:cs="Calibri"/>
        </w:rPr>
      </w:pPr>
      <w:r w:rsidRPr="00637367">
        <w:rPr>
          <w:rFonts w:eastAsia="Times New Roman" w:cstheme="minorHAnsi"/>
          <w:i/>
          <w:u w:val="single"/>
        </w:rPr>
        <w:t>Capacity enhancement for artisanal and small-scale miner associations:</w:t>
      </w:r>
      <w:r w:rsidRPr="00637367">
        <w:rPr>
          <w:rFonts w:eastAsia="Times New Roman" w:cstheme="minorHAnsi"/>
        </w:rPr>
        <w:t xml:space="preserve"> The Project will engage actively with artisanal and small-scale miner associations on environmental health risks and cleaner technologies.  The Project will raise awareness on environmental health risks and build capacity on best practices in mining and mineral processing, including mercury-free methods as well as environmental and social due diligence before mining and environment plans for rehabilitating mines after closure.  In conjunction with the World</w:t>
      </w:r>
      <w:r>
        <w:rPr>
          <w:rFonts w:eastAsia="Times New Roman" w:cstheme="minorHAnsi"/>
        </w:rPr>
        <w:t xml:space="preserve"> </w:t>
      </w:r>
      <w:r w:rsidRPr="00637367">
        <w:rPr>
          <w:rFonts w:eastAsia="Times New Roman" w:cstheme="minorHAnsi"/>
        </w:rPr>
        <w:t>Bank</w:t>
      </w:r>
      <w:r>
        <w:rPr>
          <w:rFonts w:eastAsia="Times New Roman" w:cstheme="minorHAnsi"/>
        </w:rPr>
        <w:t>-</w:t>
      </w:r>
      <w:r w:rsidRPr="00637367">
        <w:rPr>
          <w:rFonts w:eastAsia="Times New Roman" w:cstheme="minorHAnsi"/>
        </w:rPr>
        <w:t xml:space="preserve">financed Ghana Artisanal and Small-Scale Mining Formalization Project (P168002), the Project will contribute to the development of a training program for small-scale miner associations, on such topics as </w:t>
      </w:r>
      <w:r>
        <w:rPr>
          <w:rFonts w:eastAsia="Times New Roman" w:cstheme="minorHAnsi"/>
        </w:rPr>
        <w:t>(</w:t>
      </w:r>
      <w:r w:rsidRPr="00637367">
        <w:rPr>
          <w:rFonts w:eastAsia="Times New Roman" w:cstheme="minorHAnsi"/>
        </w:rPr>
        <w:t>i</w:t>
      </w:r>
      <w:r>
        <w:rPr>
          <w:rFonts w:eastAsia="Times New Roman" w:cstheme="minorHAnsi"/>
        </w:rPr>
        <w:t>)</w:t>
      </w:r>
      <w:r w:rsidRPr="00637367">
        <w:rPr>
          <w:rFonts w:eastAsia="Times New Roman" w:cstheme="minorHAnsi"/>
        </w:rPr>
        <w:t xml:space="preserve"> alternative methods for </w:t>
      </w:r>
      <w:r>
        <w:rPr>
          <w:rFonts w:eastAsia="Times New Roman" w:cstheme="minorHAnsi"/>
        </w:rPr>
        <w:t>g</w:t>
      </w:r>
      <w:r w:rsidRPr="00637367">
        <w:rPr>
          <w:rFonts w:eastAsia="Times New Roman" w:cstheme="minorHAnsi"/>
        </w:rPr>
        <w:t xml:space="preserve">old recovery and </w:t>
      </w:r>
      <w:r>
        <w:rPr>
          <w:rFonts w:eastAsia="Times New Roman" w:cstheme="minorHAnsi"/>
        </w:rPr>
        <w:t>(</w:t>
      </w:r>
      <w:r w:rsidRPr="00637367">
        <w:rPr>
          <w:rFonts w:eastAsia="Times New Roman" w:cstheme="minorHAnsi"/>
        </w:rPr>
        <w:t>ii</w:t>
      </w:r>
      <w:r>
        <w:rPr>
          <w:rFonts w:eastAsia="Times New Roman" w:cstheme="minorHAnsi"/>
        </w:rPr>
        <w:t>)</w:t>
      </w:r>
      <w:r w:rsidRPr="00637367">
        <w:rPr>
          <w:rFonts w:eastAsia="Times New Roman" w:cstheme="minorHAnsi"/>
        </w:rPr>
        <w:t xml:space="preserve"> improved methods for capture and management of mercury.  </w:t>
      </w:r>
      <w:r>
        <w:rPr>
          <w:rFonts w:eastAsia="Times New Roman" w:cstheme="minorHAnsi"/>
        </w:rPr>
        <w:t xml:space="preserve">This could be through the updating of an existing course by the </w:t>
      </w:r>
      <w:r w:rsidRPr="00637367">
        <w:rPr>
          <w:rFonts w:ascii="Calibri" w:eastAsia="Times New Roman" w:hAnsi="Calibri" w:cs="Calibri"/>
        </w:rPr>
        <w:t>University of Mines and Technology (UMAT</w:t>
      </w:r>
      <w:r>
        <w:rPr>
          <w:rFonts w:ascii="Calibri" w:eastAsia="Times New Roman" w:hAnsi="Calibri" w:cs="Calibri"/>
        </w:rPr>
        <w:t xml:space="preserve">). </w:t>
      </w:r>
      <w:r w:rsidRPr="00637367">
        <w:rPr>
          <w:rFonts w:eastAsia="Times New Roman" w:cstheme="minorHAnsi"/>
        </w:rPr>
        <w:t xml:space="preserve"> The Project will also support the participation of </w:t>
      </w:r>
      <w:r>
        <w:rPr>
          <w:rFonts w:eastAsia="Times New Roman" w:cstheme="minorHAnsi"/>
        </w:rPr>
        <w:t xml:space="preserve">affected </w:t>
      </w:r>
      <w:r w:rsidRPr="00637367">
        <w:rPr>
          <w:rFonts w:eastAsia="Times New Roman" w:cstheme="minorHAnsi"/>
        </w:rPr>
        <w:t xml:space="preserve">communities (e.g., travel, accommodation).  </w:t>
      </w:r>
      <w:r w:rsidRPr="00E52F0D">
        <w:rPr>
          <w:rFonts w:eastAsia="Times New Roman" w:cstheme="minorHAnsi"/>
        </w:rPr>
        <w:t xml:space="preserve">Regions and communities will be chosen in coordination with the other </w:t>
      </w:r>
      <w:r w:rsidRPr="00E52F0D">
        <w:rPr>
          <w:rFonts w:eastAsia="Times New Roman" w:cstheme="minorHAnsi"/>
        </w:rPr>
        <w:lastRenderedPageBreak/>
        <w:t xml:space="preserve">capacity building initiatives on-going in Ghana as well as in </w:t>
      </w:r>
      <w:r>
        <w:rPr>
          <w:rFonts w:eastAsia="Times New Roman" w:cstheme="minorHAnsi"/>
        </w:rPr>
        <w:t>line</w:t>
      </w:r>
      <w:r w:rsidRPr="00E52F0D">
        <w:rPr>
          <w:rFonts w:eastAsia="Times New Roman" w:cstheme="minorHAnsi"/>
        </w:rPr>
        <w:t xml:space="preserve"> with Sub-component 3.1 (cleaner technologies demonstration sites).</w:t>
      </w:r>
      <w:r w:rsidRPr="00E52F0D">
        <w:rPr>
          <w:rFonts w:ascii="Calibri" w:eastAsia="Times New Roman" w:hAnsi="Calibri" w:cs="Calibri"/>
        </w:rPr>
        <w:t xml:space="preserve"> </w:t>
      </w:r>
    </w:p>
    <w:p w14:paraId="14B9D914" w14:textId="77777777" w:rsidR="00D70D43" w:rsidRPr="002E4F44" w:rsidRDefault="00D70D43" w:rsidP="002E38A2">
      <w:pPr>
        <w:numPr>
          <w:ilvl w:val="0"/>
          <w:numId w:val="19"/>
        </w:numPr>
        <w:ind w:left="0" w:hanging="450"/>
        <w:jc w:val="both"/>
        <w:rPr>
          <w:rFonts w:ascii="Calibri" w:eastAsia="Times New Roman" w:hAnsi="Calibri" w:cs="Calibri"/>
        </w:rPr>
      </w:pPr>
      <w:r w:rsidRPr="002E4F44">
        <w:rPr>
          <w:rFonts w:ascii="Calibri" w:eastAsia="Times New Roman" w:hAnsi="Calibri" w:cs="Calibri"/>
          <w:i/>
          <w:u w:val="single"/>
        </w:rPr>
        <w:t>Strengthening national coordination mechanism for mercury management:</w:t>
      </w:r>
      <w:r w:rsidRPr="002E4F44">
        <w:rPr>
          <w:rFonts w:ascii="Calibri" w:eastAsia="Times New Roman" w:hAnsi="Calibri" w:cs="Calibri"/>
        </w:rPr>
        <w:t xml:space="preserve"> The Project will support MESTI and EPA in facilitating liaison with, and improving coordination among, the following bodies, at senior or operational level: Ministry of Trade &amp; Industry (MOTI), Ghana Atomic Energy Commission, Council for Scientific and Industrial Research (CSIR), Science and Technology Policy Research Institute (STEPRI), University of Mines and Technology (UMAT), Ministry of Health (MOH), Inter-Ministerial Committee on Illegal Mining, artisanal mining associations, development partners, donor-funded projects, and non-governmental organizations.  This coordination is particularly relevant given the myriad of initiatives around mercury-free technologies, creating the need to map them out and capture lessons learned.  The Project will also strengthen Ghana’s </w:t>
      </w:r>
      <w:r w:rsidRPr="00E30082">
        <w:rPr>
          <w:rFonts w:ascii="Calibri" w:eastAsia="Times New Roman" w:hAnsi="Calibri" w:cs="Calibri"/>
        </w:rPr>
        <w:t>Minamata Convention Steering Committee</w:t>
      </w:r>
      <w:r w:rsidRPr="002E4F44">
        <w:rPr>
          <w:rFonts w:ascii="Calibri" w:eastAsia="Times New Roman" w:hAnsi="Calibri" w:cs="Calibri"/>
        </w:rPr>
        <w:t xml:space="preserve"> as a platform for national coordination on mercury management.  Finally, the Project will support knowledge and experience sharing among participating countries (e.g., participation in regional forum, study tours etc.) through the regional knowledge exchange platform.</w:t>
      </w:r>
    </w:p>
    <w:p w14:paraId="38C97E00" w14:textId="77777777" w:rsidR="00D70D43" w:rsidRPr="003739DB" w:rsidRDefault="00D70D43" w:rsidP="00D70D43">
      <w:pPr>
        <w:jc w:val="both"/>
        <w:rPr>
          <w:rFonts w:ascii="Calibri" w:eastAsia="Times New Roman" w:hAnsi="Calibri" w:cs="Calibri"/>
          <w:i/>
        </w:rPr>
      </w:pPr>
      <w:r w:rsidRPr="003739DB">
        <w:rPr>
          <w:rFonts w:ascii="Calibri" w:eastAsia="Times New Roman" w:hAnsi="Calibri" w:cs="Calibri"/>
          <w:i/>
        </w:rPr>
        <w:t>Expected Results of Sub-component 1.1</w:t>
      </w:r>
    </w:p>
    <w:p w14:paraId="24F3A682" w14:textId="77777777" w:rsidR="00D70D43" w:rsidRDefault="00D70D43" w:rsidP="002E38A2">
      <w:pPr>
        <w:pStyle w:val="ListParagraph"/>
        <w:numPr>
          <w:ilvl w:val="1"/>
          <w:numId w:val="15"/>
        </w:numPr>
        <w:ind w:left="720"/>
        <w:jc w:val="both"/>
        <w:rPr>
          <w:rFonts w:ascii="Calibri" w:eastAsia="Times New Roman" w:hAnsi="Calibri" w:cs="Calibri"/>
        </w:rPr>
      </w:pPr>
      <w:r w:rsidRPr="008B3788">
        <w:rPr>
          <w:rFonts w:ascii="Calibri" w:eastAsia="Times New Roman" w:hAnsi="Calibri" w:cs="Calibri"/>
        </w:rPr>
        <w:t>National Mercury Inventory (NMI) database for Ghana</w:t>
      </w:r>
      <w:r>
        <w:rPr>
          <w:rFonts w:ascii="Calibri" w:eastAsia="Times New Roman" w:hAnsi="Calibri" w:cs="Calibri"/>
        </w:rPr>
        <w:t xml:space="preserve"> developed</w:t>
      </w:r>
    </w:p>
    <w:p w14:paraId="3247A145"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C</w:t>
      </w:r>
      <w:r w:rsidRPr="003739DB">
        <w:rPr>
          <w:rFonts w:ascii="Calibri" w:eastAsia="Times New Roman" w:hAnsi="Calibri" w:cs="Calibri"/>
        </w:rPr>
        <w:t xml:space="preserve">apacity for monitoring of and reporting on mercury </w:t>
      </w:r>
      <w:r>
        <w:rPr>
          <w:rFonts w:ascii="Calibri" w:eastAsia="Times New Roman" w:hAnsi="Calibri" w:cs="Calibri"/>
        </w:rPr>
        <w:t>uses and flows strengthened</w:t>
      </w:r>
    </w:p>
    <w:p w14:paraId="010297F5"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O</w:t>
      </w:r>
      <w:r w:rsidRPr="008B3788">
        <w:rPr>
          <w:rFonts w:ascii="Calibri" w:eastAsia="Times New Roman" w:hAnsi="Calibri" w:cs="Calibri"/>
        </w:rPr>
        <w:t xml:space="preserve">utreach/communication strategy </w:t>
      </w:r>
      <w:r>
        <w:rPr>
          <w:rFonts w:ascii="Calibri" w:eastAsia="Times New Roman" w:hAnsi="Calibri" w:cs="Calibri"/>
        </w:rPr>
        <w:t>for improved mercury management developed</w:t>
      </w:r>
    </w:p>
    <w:p w14:paraId="5B8C34D8"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H</w:t>
      </w:r>
      <w:r w:rsidRPr="003460F2">
        <w:rPr>
          <w:rFonts w:ascii="Calibri" w:eastAsia="Times New Roman" w:hAnsi="Calibri" w:cs="Calibri"/>
        </w:rPr>
        <w:t xml:space="preserve">igher awareness of vulnerable populations and populations with high exposure to mercury </w:t>
      </w:r>
    </w:p>
    <w:p w14:paraId="2CD42E12"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10 miner communities trained in safe handling of mercury and cleaner mining practices</w:t>
      </w:r>
    </w:p>
    <w:p w14:paraId="62F8212F" w14:textId="77777777" w:rsidR="00D70D43" w:rsidRDefault="00D70D43" w:rsidP="002E38A2">
      <w:pPr>
        <w:pStyle w:val="ListParagraph"/>
        <w:numPr>
          <w:ilvl w:val="1"/>
          <w:numId w:val="15"/>
        </w:numPr>
        <w:ind w:left="720"/>
        <w:jc w:val="both"/>
        <w:rPr>
          <w:rFonts w:ascii="Calibri" w:eastAsia="Times New Roman" w:hAnsi="Calibri" w:cs="Calibri"/>
        </w:rPr>
      </w:pPr>
      <w:r>
        <w:rPr>
          <w:rFonts w:ascii="Calibri" w:eastAsia="Times New Roman" w:hAnsi="Calibri" w:cs="Calibri"/>
        </w:rPr>
        <w:t>Minamata Convention Steering Committee strengthened</w:t>
      </w:r>
    </w:p>
    <w:p w14:paraId="641DEE33" w14:textId="77777777" w:rsidR="00D70D43" w:rsidRPr="003739DB" w:rsidRDefault="00D70D43" w:rsidP="00D70D43">
      <w:pPr>
        <w:ind w:left="3"/>
        <w:jc w:val="both"/>
        <w:rPr>
          <w:rFonts w:ascii="Calibri" w:eastAsia="Times New Roman" w:hAnsi="Calibri" w:cs="Calibri"/>
          <w:lang w:val="fr-FR"/>
        </w:rPr>
      </w:pPr>
      <w:proofErr w:type="spellStart"/>
      <w:r w:rsidRPr="003739DB">
        <w:rPr>
          <w:rFonts w:ascii="Calibri" w:eastAsia="Times New Roman" w:hAnsi="Calibri" w:cs="Calibri"/>
          <w:i/>
          <w:lang w:val="fr-FR"/>
        </w:rPr>
        <w:t>Sub</w:t>
      </w:r>
      <w:proofErr w:type="spellEnd"/>
      <w:r w:rsidRPr="003739DB">
        <w:rPr>
          <w:rFonts w:ascii="Calibri" w:eastAsia="Times New Roman" w:hAnsi="Calibri" w:cs="Calibri"/>
          <w:i/>
          <w:lang w:val="fr-FR"/>
        </w:rPr>
        <w:t>-component 1.2: e-</w:t>
      </w:r>
      <w:proofErr w:type="spellStart"/>
      <w:r w:rsidRPr="003739DB">
        <w:rPr>
          <w:rFonts w:ascii="Calibri" w:eastAsia="Times New Roman" w:hAnsi="Calibri" w:cs="Calibri"/>
          <w:i/>
          <w:lang w:val="fr-FR"/>
        </w:rPr>
        <w:t>waste</w:t>
      </w:r>
      <w:proofErr w:type="spellEnd"/>
      <w:r w:rsidRPr="003739DB">
        <w:rPr>
          <w:rFonts w:ascii="Calibri" w:eastAsia="Times New Roman" w:hAnsi="Calibri" w:cs="Calibri"/>
          <w:i/>
          <w:lang w:val="fr-FR"/>
        </w:rPr>
        <w:t xml:space="preserve"> management</w:t>
      </w:r>
    </w:p>
    <w:p w14:paraId="6B480A78" w14:textId="77777777" w:rsidR="00D70D43" w:rsidRDefault="00D70D43" w:rsidP="002E38A2">
      <w:pPr>
        <w:numPr>
          <w:ilvl w:val="0"/>
          <w:numId w:val="19"/>
        </w:numPr>
        <w:ind w:left="0" w:hanging="450"/>
        <w:jc w:val="both"/>
        <w:rPr>
          <w:rFonts w:ascii="Calibri" w:eastAsia="Times New Roman" w:hAnsi="Calibri" w:cs="Calibri"/>
        </w:rPr>
      </w:pPr>
      <w:r w:rsidRPr="008E1EE5">
        <w:rPr>
          <w:rFonts w:ascii="Calibri" w:eastAsia="Times New Roman" w:hAnsi="Calibri" w:cs="Calibri"/>
        </w:rPr>
        <w:t xml:space="preserve">The </w:t>
      </w:r>
      <w:r>
        <w:rPr>
          <w:rFonts w:ascii="Calibri" w:eastAsia="Times New Roman" w:hAnsi="Calibri" w:cs="Calibri"/>
        </w:rPr>
        <w:t>sub-c</w:t>
      </w:r>
      <w:r w:rsidRPr="008E1EE5">
        <w:rPr>
          <w:rFonts w:ascii="Calibri" w:eastAsia="Times New Roman" w:hAnsi="Calibri" w:cs="Calibri"/>
        </w:rPr>
        <w:t xml:space="preserve">omponent will enhance the capacity of institutions and other stakeholders in Ghana to ensure environmentally-sound disposal and recycling of e-waste in Ghana.  Key beneficiary institutions will include EPA, MESTI and the Customs Division of the Ghana Revenue Authority.  The Project will </w:t>
      </w:r>
      <w:proofErr w:type="gramStart"/>
      <w:r w:rsidRPr="008E1EE5">
        <w:rPr>
          <w:rFonts w:ascii="Calibri" w:eastAsia="Times New Roman" w:hAnsi="Calibri" w:cs="Calibri"/>
        </w:rPr>
        <w:t>in particular support</w:t>
      </w:r>
      <w:proofErr w:type="gramEnd"/>
      <w:r w:rsidRPr="008E1EE5">
        <w:rPr>
          <w:rFonts w:ascii="Calibri" w:eastAsia="Times New Roman" w:hAnsi="Calibri" w:cs="Calibri"/>
        </w:rPr>
        <w:t xml:space="preserve"> capacity building efforts of the EPA and MESTI to successfully implement and enforce the </w:t>
      </w:r>
      <w:r w:rsidRPr="000016C8">
        <w:rPr>
          <w:rFonts w:ascii="Calibri" w:eastAsia="Times New Roman" w:hAnsi="Calibri" w:cs="Calibri"/>
          <w:i/>
        </w:rPr>
        <w:t>Hazardous and Electronic Waste control and Management Act</w:t>
      </w:r>
      <w:r>
        <w:rPr>
          <w:rFonts w:ascii="Calibri" w:eastAsia="Times New Roman" w:hAnsi="Calibri" w:cs="Calibri"/>
          <w:i/>
        </w:rPr>
        <w:t>,</w:t>
      </w:r>
      <w:r w:rsidRPr="008E1EE5">
        <w:rPr>
          <w:rFonts w:ascii="Calibri" w:eastAsia="Times New Roman" w:hAnsi="Calibri" w:cs="Calibri"/>
        </w:rPr>
        <w:t xml:space="preserve"> 2016 </w:t>
      </w:r>
      <w:r>
        <w:rPr>
          <w:rFonts w:ascii="Calibri" w:eastAsia="Times New Roman" w:hAnsi="Calibri" w:cs="Calibri"/>
        </w:rPr>
        <w:t>(</w:t>
      </w:r>
      <w:r w:rsidRPr="008E1EE5">
        <w:rPr>
          <w:rFonts w:ascii="Calibri" w:eastAsia="Times New Roman" w:hAnsi="Calibri" w:cs="Calibri"/>
        </w:rPr>
        <w:t>Act 917</w:t>
      </w:r>
      <w:r>
        <w:rPr>
          <w:rFonts w:ascii="Calibri" w:eastAsia="Times New Roman" w:hAnsi="Calibri" w:cs="Calibri"/>
        </w:rPr>
        <w:t>)</w:t>
      </w:r>
      <w:r w:rsidRPr="008E1EE5">
        <w:rPr>
          <w:rFonts w:ascii="Calibri" w:eastAsia="Times New Roman" w:hAnsi="Calibri" w:cs="Calibri"/>
        </w:rPr>
        <w:t xml:space="preserve"> and the </w:t>
      </w:r>
      <w:r w:rsidRPr="000016C8">
        <w:rPr>
          <w:rFonts w:ascii="Calibri" w:eastAsia="Times New Roman" w:hAnsi="Calibri" w:cs="Calibri"/>
          <w:i/>
        </w:rPr>
        <w:t>Hazardous, Electronic and other wastes control and management regulations</w:t>
      </w:r>
      <w:r>
        <w:rPr>
          <w:rFonts w:ascii="Calibri" w:eastAsia="Times New Roman" w:hAnsi="Calibri" w:cs="Calibri"/>
          <w:i/>
        </w:rPr>
        <w:t>,</w:t>
      </w:r>
      <w:r w:rsidRPr="000016C8">
        <w:rPr>
          <w:rFonts w:ascii="Calibri" w:eastAsia="Times New Roman" w:hAnsi="Calibri" w:cs="Calibri"/>
          <w:i/>
        </w:rPr>
        <w:t xml:space="preserve"> </w:t>
      </w:r>
      <w:r w:rsidRPr="008E1EE5">
        <w:rPr>
          <w:rFonts w:ascii="Calibri" w:eastAsia="Times New Roman" w:hAnsi="Calibri" w:cs="Calibri"/>
        </w:rPr>
        <w:t xml:space="preserve">2016 </w:t>
      </w:r>
      <w:r>
        <w:rPr>
          <w:rFonts w:ascii="Calibri" w:eastAsia="Times New Roman" w:hAnsi="Calibri" w:cs="Calibri"/>
        </w:rPr>
        <w:t>(</w:t>
      </w:r>
      <w:r w:rsidRPr="008E1EE5">
        <w:rPr>
          <w:rFonts w:ascii="Calibri" w:eastAsia="Times New Roman" w:hAnsi="Calibri" w:cs="Calibri"/>
        </w:rPr>
        <w:t>LI 2250</w:t>
      </w:r>
      <w:r>
        <w:rPr>
          <w:rFonts w:ascii="Calibri" w:eastAsia="Times New Roman" w:hAnsi="Calibri" w:cs="Calibri"/>
        </w:rPr>
        <w:t>)</w:t>
      </w:r>
      <w:r w:rsidRPr="008E1EE5">
        <w:rPr>
          <w:rFonts w:ascii="Calibri" w:eastAsia="Times New Roman" w:hAnsi="Calibri" w:cs="Calibri"/>
        </w:rPr>
        <w:t xml:space="preserve">.  The Project will also work with e-waste </w:t>
      </w:r>
      <w:r>
        <w:rPr>
          <w:rFonts w:ascii="Calibri" w:eastAsia="Times New Roman" w:hAnsi="Calibri" w:cs="Calibri"/>
        </w:rPr>
        <w:t>associations/</w:t>
      </w:r>
      <w:r w:rsidRPr="008E1EE5">
        <w:rPr>
          <w:rFonts w:ascii="Calibri" w:eastAsia="Times New Roman" w:hAnsi="Calibri" w:cs="Calibri"/>
        </w:rPr>
        <w:t>cooperatives, to raise their awareness and build their capacity to grow and manage their business in environmentally- and socially- sound ways.</w:t>
      </w:r>
    </w:p>
    <w:p w14:paraId="45C685AB" w14:textId="77777777" w:rsidR="00D70D43" w:rsidRDefault="00D70D43" w:rsidP="002E38A2">
      <w:pPr>
        <w:numPr>
          <w:ilvl w:val="0"/>
          <w:numId w:val="19"/>
        </w:numPr>
        <w:ind w:left="0" w:hanging="450"/>
        <w:jc w:val="both"/>
        <w:rPr>
          <w:rFonts w:ascii="Calibri" w:eastAsia="Times New Roman" w:hAnsi="Calibri" w:cs="Calibri"/>
        </w:rPr>
      </w:pPr>
      <w:r w:rsidRPr="00072195">
        <w:rPr>
          <w:rFonts w:ascii="Calibri" w:eastAsia="Times New Roman" w:hAnsi="Calibri" w:cs="Calibri"/>
          <w:i/>
          <w:u w:val="single"/>
        </w:rPr>
        <w:t>e-waste inventory:</w:t>
      </w:r>
      <w:r w:rsidRPr="00072195">
        <w:rPr>
          <w:rFonts w:ascii="Calibri" w:eastAsia="Times New Roman" w:hAnsi="Calibri" w:cs="Calibri"/>
        </w:rPr>
        <w:t xml:space="preserve">  The Project will support EPA to undertake a country-wide situation analysis on e-waste to understand the physical flow of e-waste, by provenance and type, and assess the economic and social weight of the sector.  This analysis will </w:t>
      </w:r>
      <w:r>
        <w:rPr>
          <w:rFonts w:ascii="Calibri" w:eastAsia="Times New Roman" w:hAnsi="Calibri" w:cs="Calibri"/>
        </w:rPr>
        <w:t xml:space="preserve">build on a previous assessment, undertaken in 2009 and release d in 2011, and will </w:t>
      </w:r>
      <w:r w:rsidRPr="00072195">
        <w:rPr>
          <w:rFonts w:ascii="Calibri" w:eastAsia="Times New Roman" w:hAnsi="Calibri" w:cs="Calibri"/>
        </w:rPr>
        <w:t xml:space="preserve">include an inventory of e-waste by origin and type, trade routes and hubs, as well as a review of major toxic pollutants, including an assessment of environmental health implications of harmful chemicals and waste and options for risk management.  This situation analysis will also look at socio-economic considerations, to measure the contribution of the e-waste sector to the economy.  It will seek to assess the dimension of the sector, including the different value-chains, their economic value, their employment level, and their degree of formalization, as well as ways to increase the formalization of the </w:t>
      </w:r>
      <w:r w:rsidRPr="00072195">
        <w:rPr>
          <w:rFonts w:ascii="Calibri" w:eastAsia="Times New Roman" w:hAnsi="Calibri" w:cs="Calibri"/>
        </w:rPr>
        <w:lastRenderedPageBreak/>
        <w:t xml:space="preserve">sector and boost value addition and job creation.  This situation analysis can become the foundation of an e-waste management information system in Ghana.  The system would serve as a platform to guide the </w:t>
      </w:r>
      <w:r>
        <w:rPr>
          <w:rFonts w:ascii="Calibri" w:eastAsia="Times New Roman" w:hAnsi="Calibri" w:cs="Calibri"/>
        </w:rPr>
        <w:t>G</w:t>
      </w:r>
      <w:r w:rsidRPr="00072195">
        <w:rPr>
          <w:rFonts w:ascii="Calibri" w:eastAsia="Times New Roman" w:hAnsi="Calibri" w:cs="Calibri"/>
        </w:rPr>
        <w:t>overnment on initiatives related to the development of infrastructure for e-waste management, resource mobilization, awareness creation, capacity building, education and research, and monitoring and evaluation.</w:t>
      </w:r>
    </w:p>
    <w:p w14:paraId="6C02D67F" w14:textId="77777777" w:rsidR="00D70D43" w:rsidRDefault="00D70D43" w:rsidP="002E38A2">
      <w:pPr>
        <w:numPr>
          <w:ilvl w:val="0"/>
          <w:numId w:val="19"/>
        </w:numPr>
        <w:ind w:left="0" w:hanging="450"/>
        <w:jc w:val="both"/>
        <w:rPr>
          <w:rFonts w:ascii="Calibri" w:eastAsia="Times New Roman" w:hAnsi="Calibri" w:cs="Calibri"/>
        </w:rPr>
      </w:pPr>
      <w:r>
        <w:rPr>
          <w:rFonts w:ascii="Calibri" w:eastAsia="Times New Roman" w:hAnsi="Calibri" w:cs="Calibri"/>
          <w:i/>
          <w:u w:val="single"/>
        </w:rPr>
        <w:t xml:space="preserve">Citizen </w:t>
      </w:r>
      <w:r w:rsidRPr="00D37E49">
        <w:rPr>
          <w:rFonts w:ascii="Calibri" w:eastAsia="Times New Roman" w:hAnsi="Calibri" w:cs="Calibri"/>
          <w:i/>
          <w:u w:val="single"/>
        </w:rPr>
        <w:t>engagement:</w:t>
      </w:r>
      <w:r w:rsidRPr="00D37E49">
        <w:rPr>
          <w:rFonts w:ascii="Calibri" w:eastAsia="Times New Roman" w:hAnsi="Calibri" w:cs="Calibri"/>
        </w:rPr>
        <w:t xml:space="preserve">  Drawing on the socio-economic component of the e-waste inventory, a comprehensive stakeholder mapping of the e-waste ecosystem in Ghana will be prepared.  It will serve as a basis to design an outreach/communication strategy to raise awareness on the environmental health risk of e-waste, change mindsets towards cleaner practices and technologies for handling and recycling, and build consensus on the Government’s program.  </w:t>
      </w:r>
      <w:r>
        <w:rPr>
          <w:rFonts w:ascii="Calibri" w:eastAsia="Times New Roman" w:hAnsi="Calibri" w:cs="Calibri"/>
        </w:rPr>
        <w:t>The outreach/communication strategy will in particular target two groups: (i) the general public (e.g., on the recent national e-waste policy, how to manage e-waste properly, and the hazardous health and environmental impacts of improper e-waste management); and (ii) those companies who pay the levy (e.g., to explain its rationale and how funding mobilized is used); and (iii) potential beneficiaries from the E-waste Fund, once it becomes operational and disbursing (e.g., explain how some operators along the value-chain can benefit from support, if eligible).</w:t>
      </w:r>
    </w:p>
    <w:p w14:paraId="43EBBD1F" w14:textId="77777777" w:rsidR="00D70D43" w:rsidRPr="008E2670" w:rsidRDefault="00D70D43" w:rsidP="002E38A2">
      <w:pPr>
        <w:numPr>
          <w:ilvl w:val="0"/>
          <w:numId w:val="19"/>
        </w:numPr>
        <w:ind w:left="0" w:hanging="450"/>
        <w:jc w:val="both"/>
        <w:rPr>
          <w:rFonts w:ascii="Calibri" w:eastAsia="Times New Roman" w:hAnsi="Calibri" w:cs="Calibri"/>
        </w:rPr>
      </w:pPr>
      <w:r w:rsidRPr="008E2670">
        <w:rPr>
          <w:rFonts w:ascii="Calibri" w:eastAsia="Times New Roman" w:hAnsi="Calibri" w:cs="Calibri"/>
          <w:i/>
          <w:u w:val="single"/>
        </w:rPr>
        <w:t xml:space="preserve">Capacity </w:t>
      </w:r>
      <w:r>
        <w:rPr>
          <w:rFonts w:ascii="Calibri" w:eastAsia="Times New Roman" w:hAnsi="Calibri" w:cs="Calibri"/>
          <w:i/>
          <w:u w:val="single"/>
        </w:rPr>
        <w:t>enhancement</w:t>
      </w:r>
      <w:r w:rsidRPr="008E2670">
        <w:rPr>
          <w:rFonts w:ascii="Calibri" w:eastAsia="Times New Roman" w:hAnsi="Calibri" w:cs="Calibri"/>
          <w:i/>
          <w:u w:val="single"/>
        </w:rPr>
        <w:t>:</w:t>
      </w:r>
      <w:r w:rsidRPr="008E2670">
        <w:rPr>
          <w:rFonts w:ascii="Calibri" w:eastAsia="Times New Roman" w:hAnsi="Calibri" w:cs="Calibri"/>
        </w:rPr>
        <w:t xml:space="preserve"> The Project will deliver capacity </w:t>
      </w:r>
      <w:r>
        <w:rPr>
          <w:rFonts w:ascii="Calibri" w:eastAsia="Times New Roman" w:hAnsi="Calibri" w:cs="Calibri"/>
        </w:rPr>
        <w:t>enhancement</w:t>
      </w:r>
      <w:r w:rsidRPr="008E2670">
        <w:rPr>
          <w:rFonts w:ascii="Calibri" w:eastAsia="Times New Roman" w:hAnsi="Calibri" w:cs="Calibri"/>
        </w:rPr>
        <w:t xml:space="preserve"> </w:t>
      </w:r>
      <w:r>
        <w:rPr>
          <w:rFonts w:ascii="Calibri" w:eastAsia="Times New Roman" w:hAnsi="Calibri" w:cs="Calibri"/>
        </w:rPr>
        <w:t>for</w:t>
      </w:r>
      <w:r w:rsidRPr="008E2670">
        <w:rPr>
          <w:rFonts w:ascii="Calibri" w:eastAsia="Times New Roman" w:hAnsi="Calibri" w:cs="Calibri"/>
        </w:rPr>
        <w:t xml:space="preserve"> targeted actors in the e-waste ecosystem:</w:t>
      </w:r>
    </w:p>
    <w:p w14:paraId="45C3392F" w14:textId="77777777" w:rsidR="00D70D43" w:rsidRPr="00547B1B" w:rsidRDefault="00D70D43" w:rsidP="002E38A2">
      <w:pPr>
        <w:numPr>
          <w:ilvl w:val="0"/>
          <w:numId w:val="11"/>
        </w:numPr>
        <w:tabs>
          <w:tab w:val="left" w:pos="0"/>
        </w:tabs>
        <w:ind w:left="720"/>
        <w:jc w:val="both"/>
        <w:rPr>
          <w:rFonts w:ascii="Calibri" w:eastAsia="Times New Roman" w:hAnsi="Calibri" w:cs="Calibri"/>
        </w:rPr>
      </w:pPr>
      <w:r w:rsidRPr="00547B1B">
        <w:rPr>
          <w:rFonts w:ascii="Calibri" w:eastAsia="Times New Roman" w:hAnsi="Calibri" w:cs="Calibri"/>
        </w:rPr>
        <w:t xml:space="preserve">The Project will engage with e-waste </w:t>
      </w:r>
      <w:r>
        <w:rPr>
          <w:rFonts w:ascii="Calibri" w:eastAsia="Times New Roman" w:hAnsi="Calibri" w:cs="Calibri"/>
        </w:rPr>
        <w:t>associations/</w:t>
      </w:r>
      <w:r w:rsidRPr="00547B1B">
        <w:rPr>
          <w:rFonts w:ascii="Calibri" w:eastAsia="Times New Roman" w:hAnsi="Calibri" w:cs="Calibri"/>
        </w:rPr>
        <w:t>cooperatives to build their members’ capacity on safe handling and recycling of e-waste as well as to provide technical assistance for business development (e.g., how to increase value addition in the recycling process, how</w:t>
      </w:r>
      <w:r>
        <w:rPr>
          <w:rFonts w:ascii="Calibri" w:eastAsia="Times New Roman" w:hAnsi="Calibri" w:cs="Calibri"/>
        </w:rPr>
        <w:t xml:space="preserve"> and why</w:t>
      </w:r>
      <w:r w:rsidRPr="00547B1B">
        <w:rPr>
          <w:rFonts w:ascii="Calibri" w:eastAsia="Times New Roman" w:hAnsi="Calibri" w:cs="Calibri"/>
        </w:rPr>
        <w:t xml:space="preserve"> to formal</w:t>
      </w:r>
      <w:r>
        <w:rPr>
          <w:rFonts w:ascii="Calibri" w:eastAsia="Times New Roman" w:hAnsi="Calibri" w:cs="Calibri"/>
        </w:rPr>
        <w:t>ize their</w:t>
      </w:r>
      <w:r w:rsidRPr="00547B1B">
        <w:rPr>
          <w:rFonts w:ascii="Calibri" w:eastAsia="Times New Roman" w:hAnsi="Calibri" w:cs="Calibri"/>
        </w:rPr>
        <w:t xml:space="preserve"> business</w:t>
      </w:r>
      <w:r>
        <w:rPr>
          <w:rFonts w:ascii="Calibri" w:eastAsia="Times New Roman" w:hAnsi="Calibri" w:cs="Calibri"/>
        </w:rPr>
        <w:t>, how to become certified for recycling and dismantling of e-waste with EPA</w:t>
      </w:r>
      <w:r w:rsidRPr="00547B1B">
        <w:rPr>
          <w:rFonts w:ascii="Calibri" w:eastAsia="Times New Roman" w:hAnsi="Calibri" w:cs="Calibri"/>
        </w:rPr>
        <w:t xml:space="preserve">).  These activities will be undertaken in </w:t>
      </w:r>
      <w:r>
        <w:rPr>
          <w:rFonts w:ascii="Calibri" w:eastAsia="Times New Roman" w:hAnsi="Calibri" w:cs="Calibri"/>
        </w:rPr>
        <w:t>line</w:t>
      </w:r>
      <w:r w:rsidRPr="00547B1B">
        <w:rPr>
          <w:rFonts w:ascii="Calibri" w:eastAsia="Times New Roman" w:hAnsi="Calibri" w:cs="Calibri"/>
        </w:rPr>
        <w:t xml:space="preserve"> with that of </w:t>
      </w:r>
      <w:r>
        <w:rPr>
          <w:rFonts w:ascii="Calibri" w:eastAsia="Times New Roman" w:hAnsi="Calibri" w:cs="Calibri"/>
        </w:rPr>
        <w:t>s</w:t>
      </w:r>
      <w:r w:rsidRPr="00547B1B">
        <w:rPr>
          <w:rFonts w:ascii="Calibri" w:eastAsia="Times New Roman" w:hAnsi="Calibri" w:cs="Calibri"/>
        </w:rPr>
        <w:t>ub-component 3.2 to support its implementation and reinforce likelihood of success;</w:t>
      </w:r>
    </w:p>
    <w:p w14:paraId="6D75A1A1" w14:textId="77777777" w:rsidR="00D70D43" w:rsidRPr="00547B1B" w:rsidRDefault="00D70D43" w:rsidP="002E38A2">
      <w:pPr>
        <w:numPr>
          <w:ilvl w:val="0"/>
          <w:numId w:val="11"/>
        </w:numPr>
        <w:tabs>
          <w:tab w:val="left" w:pos="0"/>
        </w:tabs>
        <w:ind w:left="720"/>
        <w:jc w:val="both"/>
        <w:rPr>
          <w:rFonts w:ascii="Calibri" w:eastAsia="Times New Roman" w:hAnsi="Calibri" w:cs="Calibri"/>
        </w:rPr>
      </w:pPr>
      <w:r w:rsidRPr="00547B1B">
        <w:rPr>
          <w:rFonts w:ascii="Calibri" w:eastAsia="Times New Roman" w:hAnsi="Calibri" w:cs="Calibri"/>
        </w:rPr>
        <w:t xml:space="preserve">The Project will enhance the capacity of Customs Officers with appropriate training to streamline Customs </w:t>
      </w:r>
      <w:r>
        <w:rPr>
          <w:rFonts w:ascii="Calibri" w:eastAsia="Times New Roman" w:hAnsi="Calibri" w:cs="Calibri"/>
        </w:rPr>
        <w:t>C</w:t>
      </w:r>
      <w:r w:rsidRPr="00547B1B">
        <w:rPr>
          <w:rFonts w:ascii="Calibri" w:eastAsia="Times New Roman" w:hAnsi="Calibri" w:cs="Calibri"/>
        </w:rPr>
        <w:t xml:space="preserve">oding, strengthen </w:t>
      </w:r>
      <w:r>
        <w:rPr>
          <w:rFonts w:ascii="Calibri" w:eastAsia="Times New Roman" w:hAnsi="Calibri" w:cs="Calibri"/>
        </w:rPr>
        <w:t>B</w:t>
      </w:r>
      <w:r w:rsidRPr="00547B1B">
        <w:rPr>
          <w:rFonts w:ascii="Calibri" w:eastAsia="Times New Roman" w:hAnsi="Calibri" w:cs="Calibri"/>
        </w:rPr>
        <w:t xml:space="preserve">orders </w:t>
      </w:r>
      <w:r>
        <w:rPr>
          <w:rFonts w:ascii="Calibri" w:eastAsia="Times New Roman" w:hAnsi="Calibri" w:cs="Calibri"/>
        </w:rPr>
        <w:t>I</w:t>
      </w:r>
      <w:r w:rsidRPr="00547B1B">
        <w:rPr>
          <w:rFonts w:ascii="Calibri" w:eastAsia="Times New Roman" w:hAnsi="Calibri" w:cs="Calibri"/>
        </w:rPr>
        <w:t>nspectorate to curtail entry of illicit e-waste into Ghana, and the collection of the appropriate tax</w:t>
      </w:r>
      <w:r>
        <w:rPr>
          <w:rFonts w:ascii="Calibri" w:eastAsia="Times New Roman" w:hAnsi="Calibri" w:cs="Calibri"/>
        </w:rPr>
        <w:t>es</w:t>
      </w:r>
      <w:r w:rsidRPr="00547B1B">
        <w:rPr>
          <w:rFonts w:ascii="Calibri" w:eastAsia="Times New Roman" w:hAnsi="Calibri" w:cs="Calibri"/>
        </w:rPr>
        <w:t xml:space="preserve"> and levies;</w:t>
      </w:r>
    </w:p>
    <w:p w14:paraId="54C68A5C" w14:textId="77777777" w:rsidR="00D70D43" w:rsidRPr="009440C7" w:rsidRDefault="00D70D43" w:rsidP="002E38A2">
      <w:pPr>
        <w:numPr>
          <w:ilvl w:val="0"/>
          <w:numId w:val="11"/>
        </w:numPr>
        <w:tabs>
          <w:tab w:val="left" w:pos="0"/>
        </w:tabs>
        <w:ind w:left="720"/>
        <w:jc w:val="both"/>
        <w:rPr>
          <w:rFonts w:ascii="Calibri" w:eastAsia="Times New Roman" w:hAnsi="Calibri" w:cs="Calibri"/>
        </w:rPr>
      </w:pPr>
      <w:r w:rsidRPr="009440C7">
        <w:rPr>
          <w:rFonts w:ascii="Calibri" w:eastAsia="Times New Roman" w:hAnsi="Calibri" w:cs="Calibri"/>
        </w:rPr>
        <w:t xml:space="preserve">The Project will build the capacity of EPA/MESTI to strengthen accountability and oversight on e-waste </w:t>
      </w:r>
      <w:r w:rsidRPr="004705AC">
        <w:rPr>
          <w:rFonts w:ascii="Calibri" w:eastAsia="Times New Roman" w:hAnsi="Calibri" w:cs="Calibri"/>
        </w:rPr>
        <w:t>management.</w:t>
      </w:r>
      <w:r w:rsidRPr="003A0677">
        <w:rPr>
          <w:rFonts w:ascii="Calibri" w:eastAsia="Times New Roman" w:hAnsi="Calibri" w:cs="Calibri"/>
        </w:rPr>
        <w:t xml:space="preserve">  Aspect</w:t>
      </w:r>
      <w:r>
        <w:rPr>
          <w:rFonts w:ascii="Calibri" w:eastAsia="Times New Roman" w:hAnsi="Calibri" w:cs="Calibri"/>
        </w:rPr>
        <w:t>s</w:t>
      </w:r>
      <w:r w:rsidRPr="003A0677">
        <w:rPr>
          <w:rFonts w:ascii="Calibri" w:eastAsia="Times New Roman" w:hAnsi="Calibri" w:cs="Calibri"/>
        </w:rPr>
        <w:t xml:space="preserve"> covered include the recent regulation and related permitting/monitoring process; best practices on e-waste management along the value-chain; data collection and </w:t>
      </w:r>
      <w:proofErr w:type="gramStart"/>
      <w:r w:rsidRPr="003A0677">
        <w:rPr>
          <w:rFonts w:ascii="Calibri" w:eastAsia="Times New Roman" w:hAnsi="Calibri" w:cs="Calibri"/>
        </w:rPr>
        <w:t>management, and</w:t>
      </w:r>
      <w:proofErr w:type="gramEnd"/>
      <w:r w:rsidRPr="003A0677">
        <w:rPr>
          <w:rFonts w:ascii="Calibri" w:eastAsia="Times New Roman" w:hAnsi="Calibri" w:cs="Calibri"/>
        </w:rPr>
        <w:t xml:space="preserve"> monitoring as related to environmental and health hazards of e-waste.  About 120 individuals would benefit as follows: 100 EPA staff in head office as well as in region</w:t>
      </w:r>
      <w:r>
        <w:rPr>
          <w:rFonts w:ascii="Calibri" w:eastAsia="Times New Roman" w:hAnsi="Calibri" w:cs="Calibri"/>
        </w:rPr>
        <w:t>al</w:t>
      </w:r>
      <w:r w:rsidRPr="003A0677">
        <w:rPr>
          <w:rFonts w:ascii="Calibri" w:eastAsia="Times New Roman" w:hAnsi="Calibri" w:cs="Calibri"/>
        </w:rPr>
        <w:t xml:space="preserve"> and district</w:t>
      </w:r>
      <w:r>
        <w:rPr>
          <w:rFonts w:ascii="Calibri" w:eastAsia="Times New Roman" w:hAnsi="Calibri" w:cs="Calibri"/>
        </w:rPr>
        <w:t xml:space="preserve"> offices</w:t>
      </w:r>
      <w:r w:rsidRPr="003A0677">
        <w:rPr>
          <w:rFonts w:ascii="Calibri" w:eastAsia="Times New Roman" w:hAnsi="Calibri" w:cs="Calibri"/>
        </w:rPr>
        <w:t xml:space="preserve">, </w:t>
      </w:r>
      <w:r>
        <w:rPr>
          <w:rFonts w:ascii="Calibri" w:eastAsia="Times New Roman" w:hAnsi="Calibri" w:cs="Calibri"/>
        </w:rPr>
        <w:t xml:space="preserve">will be trained </w:t>
      </w:r>
      <w:r w:rsidRPr="003A0677">
        <w:rPr>
          <w:rFonts w:ascii="Calibri" w:eastAsia="Times New Roman" w:hAnsi="Calibri" w:cs="Calibri"/>
        </w:rPr>
        <w:t>primarily on regulation, monitoring and enforcement</w:t>
      </w:r>
      <w:r>
        <w:rPr>
          <w:rFonts w:ascii="Calibri" w:eastAsia="Times New Roman" w:hAnsi="Calibri" w:cs="Calibri"/>
        </w:rPr>
        <w:t>;</w:t>
      </w:r>
      <w:r w:rsidRPr="003A0677">
        <w:rPr>
          <w:rFonts w:ascii="Calibri" w:eastAsia="Times New Roman" w:hAnsi="Calibri" w:cs="Calibri"/>
        </w:rPr>
        <w:t xml:space="preserve"> as well as 20 MESTI staff in head office</w:t>
      </w:r>
      <w:r>
        <w:rPr>
          <w:rFonts w:ascii="Calibri" w:eastAsia="Times New Roman" w:hAnsi="Calibri" w:cs="Calibri"/>
        </w:rPr>
        <w:t xml:space="preserve"> to be trained</w:t>
      </w:r>
      <w:r w:rsidRPr="003A0677">
        <w:rPr>
          <w:rFonts w:ascii="Calibri" w:eastAsia="Times New Roman" w:hAnsi="Calibri" w:cs="Calibri"/>
        </w:rPr>
        <w:t xml:space="preserve"> </w:t>
      </w:r>
      <w:r>
        <w:rPr>
          <w:rFonts w:ascii="Calibri" w:eastAsia="Times New Roman" w:hAnsi="Calibri" w:cs="Calibri"/>
        </w:rPr>
        <w:t>primarily in relation to</w:t>
      </w:r>
      <w:r w:rsidRPr="009440C7">
        <w:rPr>
          <w:rFonts w:ascii="Calibri" w:eastAsia="Times New Roman" w:hAnsi="Calibri" w:cs="Calibri"/>
        </w:rPr>
        <w:t xml:space="preserve"> </w:t>
      </w:r>
      <w:r w:rsidRPr="004705AC">
        <w:rPr>
          <w:rFonts w:ascii="Calibri" w:eastAsia="Times New Roman" w:hAnsi="Calibri" w:cs="Calibri"/>
        </w:rPr>
        <w:t>policy formulation</w:t>
      </w:r>
      <w:r>
        <w:rPr>
          <w:rFonts w:ascii="Calibri" w:eastAsia="Times New Roman" w:hAnsi="Calibri" w:cs="Calibri"/>
        </w:rPr>
        <w:t xml:space="preserve"> and </w:t>
      </w:r>
      <w:r w:rsidRPr="003A0677">
        <w:rPr>
          <w:rFonts w:ascii="Calibri" w:eastAsia="Times New Roman" w:hAnsi="Calibri" w:cs="Calibri"/>
        </w:rPr>
        <w:t xml:space="preserve">evaluation (e.g., inform policy development and guide management of the </w:t>
      </w:r>
      <w:r>
        <w:rPr>
          <w:rFonts w:ascii="Calibri" w:eastAsia="Times New Roman" w:hAnsi="Calibri" w:cs="Calibri"/>
        </w:rPr>
        <w:t>E</w:t>
      </w:r>
      <w:r w:rsidRPr="003A0677">
        <w:rPr>
          <w:rFonts w:ascii="Calibri" w:eastAsia="Times New Roman" w:hAnsi="Calibri" w:cs="Calibri"/>
        </w:rPr>
        <w:t>-</w:t>
      </w:r>
      <w:r>
        <w:rPr>
          <w:rFonts w:ascii="Calibri" w:eastAsia="Times New Roman" w:hAnsi="Calibri" w:cs="Calibri"/>
        </w:rPr>
        <w:t xml:space="preserve">waste </w:t>
      </w:r>
      <w:r w:rsidRPr="003A0677">
        <w:rPr>
          <w:rFonts w:ascii="Calibri" w:eastAsia="Times New Roman" w:hAnsi="Calibri" w:cs="Calibri"/>
        </w:rPr>
        <w:t xml:space="preserve">Fund).  </w:t>
      </w:r>
    </w:p>
    <w:p w14:paraId="5FB6C269"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E80175">
        <w:rPr>
          <w:rFonts w:ascii="Calibri" w:eastAsia="Times New Roman" w:hAnsi="Calibri" w:cs="Calibri"/>
          <w:i/>
          <w:u w:val="single"/>
        </w:rPr>
        <w:t>Strengthening national coordination mechanism for e-waste management:</w:t>
      </w:r>
      <w:r w:rsidRPr="00E80175">
        <w:rPr>
          <w:rFonts w:ascii="Calibri" w:eastAsia="Times New Roman" w:hAnsi="Calibri" w:cs="Calibri"/>
        </w:rPr>
        <w:t xml:space="preserve"> Addressing the e-waste challenge requires collaboration and coordination among all stakeholders and the Project will support EPA and MESTI</w:t>
      </w:r>
      <w:r>
        <w:rPr>
          <w:rFonts w:ascii="Calibri" w:eastAsia="Times New Roman" w:hAnsi="Calibri" w:cs="Calibri"/>
        </w:rPr>
        <w:t xml:space="preserve"> (PPME)</w:t>
      </w:r>
      <w:r w:rsidRPr="00E80175">
        <w:rPr>
          <w:rFonts w:ascii="Calibri" w:eastAsia="Times New Roman" w:hAnsi="Calibri" w:cs="Calibri"/>
        </w:rPr>
        <w:t xml:space="preserve"> to effectively coordinate all on-going Initiatives on e-waste management in Ghana.  </w:t>
      </w:r>
      <w:r w:rsidRPr="00E80175">
        <w:rPr>
          <w:rFonts w:ascii="Calibri" w:eastAsia="Times New Roman" w:hAnsi="Calibri" w:cs="Calibri"/>
        </w:rPr>
        <w:lastRenderedPageBreak/>
        <w:t xml:space="preserve">The Project will support the operationalization of the Hazardous Waste and Electronic Wastes Management Committee as a platform for </w:t>
      </w:r>
      <w:r>
        <w:rPr>
          <w:rFonts w:ascii="Calibri" w:eastAsia="Times New Roman" w:hAnsi="Calibri" w:cs="Calibri"/>
        </w:rPr>
        <w:t>n</w:t>
      </w:r>
      <w:r w:rsidRPr="00E80175">
        <w:rPr>
          <w:rFonts w:ascii="Calibri" w:eastAsia="Times New Roman" w:hAnsi="Calibri" w:cs="Calibri"/>
        </w:rPr>
        <w:t xml:space="preserve">ational </w:t>
      </w:r>
      <w:r>
        <w:rPr>
          <w:rFonts w:ascii="Calibri" w:eastAsia="Times New Roman" w:hAnsi="Calibri" w:cs="Calibri"/>
        </w:rPr>
        <w:t>c</w:t>
      </w:r>
      <w:r w:rsidRPr="00E80175">
        <w:rPr>
          <w:rFonts w:ascii="Calibri" w:eastAsia="Times New Roman" w:hAnsi="Calibri" w:cs="Calibri"/>
        </w:rPr>
        <w:t xml:space="preserve">oordination on e-waste management.  It will also support EPA and MESTI in their effort to coordinate the growing initiatives of development partners, via </w:t>
      </w:r>
      <w:r>
        <w:rPr>
          <w:rFonts w:ascii="Calibri" w:eastAsia="Times New Roman" w:hAnsi="Calibri" w:cs="Calibri"/>
        </w:rPr>
        <w:t>an</w:t>
      </w:r>
      <w:r w:rsidRPr="00E80175">
        <w:rPr>
          <w:rFonts w:ascii="Calibri" w:eastAsia="Times New Roman" w:hAnsi="Calibri" w:cs="Calibri"/>
        </w:rPr>
        <w:t xml:space="preserve"> e-waste platform for information sharing and strategic alignment.  More broadly, the </w:t>
      </w:r>
      <w:r>
        <w:rPr>
          <w:rFonts w:ascii="Calibri" w:eastAsia="Times New Roman" w:hAnsi="Calibri" w:cs="Calibri"/>
        </w:rPr>
        <w:t>c</w:t>
      </w:r>
      <w:r w:rsidRPr="00E80175">
        <w:rPr>
          <w:rFonts w:ascii="Calibri" w:eastAsia="Times New Roman" w:hAnsi="Calibri" w:cs="Calibri"/>
        </w:rPr>
        <w:t xml:space="preserve">omponent will also support EPA and MESTI collaboration with MOTI, MOH – GHS, Ministry of Communications, Customs Division of the Ghana Revenue Authority, Ghana Immigration Service, Ghana Standards Authority and Ghana Ports and </w:t>
      </w:r>
      <w:proofErr w:type="spellStart"/>
      <w:r w:rsidRPr="00E80175">
        <w:rPr>
          <w:rFonts w:ascii="Calibri" w:eastAsia="Times New Roman" w:hAnsi="Calibri" w:cs="Calibri"/>
        </w:rPr>
        <w:t>Harbours</w:t>
      </w:r>
      <w:proofErr w:type="spellEnd"/>
      <w:r w:rsidRPr="00E80175">
        <w:rPr>
          <w:rFonts w:ascii="Calibri" w:eastAsia="Times New Roman" w:hAnsi="Calibri" w:cs="Calibri"/>
        </w:rPr>
        <w:t xml:space="preserve"> Authority.  Finally, the Project will also support knowledge and experience sharing among participating countries (e.g., participation in regional forum, study tours etc.) through the regional knowledge exchange platform.</w:t>
      </w:r>
    </w:p>
    <w:p w14:paraId="014D31EE" w14:textId="77777777" w:rsidR="00D70D43" w:rsidRPr="00C92462" w:rsidRDefault="00D70D43" w:rsidP="00D70D43">
      <w:pPr>
        <w:jc w:val="both"/>
        <w:rPr>
          <w:rFonts w:ascii="Calibri" w:eastAsia="Times New Roman" w:hAnsi="Calibri" w:cs="Calibri"/>
          <w:i/>
        </w:rPr>
      </w:pPr>
      <w:r w:rsidRPr="00C92462">
        <w:rPr>
          <w:rFonts w:ascii="Calibri" w:eastAsia="Times New Roman" w:hAnsi="Calibri" w:cs="Calibri"/>
          <w:i/>
        </w:rPr>
        <w:t>Expected Results of Sub-component 1.</w:t>
      </w:r>
      <w:r>
        <w:rPr>
          <w:rFonts w:ascii="Calibri" w:eastAsia="Times New Roman" w:hAnsi="Calibri" w:cs="Calibri"/>
          <w:i/>
        </w:rPr>
        <w:t>2</w:t>
      </w:r>
    </w:p>
    <w:p w14:paraId="09812DA3" w14:textId="77777777" w:rsidR="00D70D43" w:rsidRPr="001D5171" w:rsidRDefault="00D70D43" w:rsidP="002E38A2">
      <w:pPr>
        <w:pStyle w:val="ListParagraph"/>
        <w:numPr>
          <w:ilvl w:val="1"/>
          <w:numId w:val="16"/>
        </w:numPr>
        <w:ind w:left="720"/>
        <w:jc w:val="both"/>
        <w:rPr>
          <w:rFonts w:ascii="Calibri" w:eastAsia="Times New Roman" w:hAnsi="Calibri" w:cs="Calibri"/>
        </w:rPr>
      </w:pPr>
      <w:r w:rsidRPr="001D5171">
        <w:rPr>
          <w:rFonts w:ascii="Calibri" w:eastAsia="Times New Roman" w:hAnsi="Calibri" w:cs="Calibri"/>
        </w:rPr>
        <w:t>A country-wide situation analysis on e-waste available, covering environmental, economic, and social dimensions</w:t>
      </w:r>
    </w:p>
    <w:p w14:paraId="3BC08635" w14:textId="77777777" w:rsidR="00D70D43" w:rsidRPr="00233C55" w:rsidRDefault="00D70D43" w:rsidP="002E38A2">
      <w:pPr>
        <w:pStyle w:val="ListParagraph"/>
        <w:numPr>
          <w:ilvl w:val="1"/>
          <w:numId w:val="16"/>
        </w:numPr>
        <w:ind w:left="720"/>
        <w:jc w:val="both"/>
        <w:rPr>
          <w:rFonts w:ascii="Calibri" w:eastAsia="Times New Roman" w:hAnsi="Calibri" w:cs="Calibri"/>
        </w:rPr>
      </w:pPr>
      <w:r w:rsidRPr="001D5171">
        <w:rPr>
          <w:rFonts w:ascii="Calibri" w:eastAsia="Times New Roman" w:hAnsi="Calibri" w:cs="Calibri"/>
        </w:rPr>
        <w:t xml:space="preserve">Capacity of public </w:t>
      </w:r>
      <w:r w:rsidRPr="00233C55">
        <w:rPr>
          <w:rFonts w:ascii="Calibri" w:eastAsia="Times New Roman" w:hAnsi="Calibri" w:cs="Calibri"/>
        </w:rPr>
        <w:t>institutions (EPA/MESTI and Customs) strengthened to support implementation and enforcement of e-waste management regulations and laws</w:t>
      </w:r>
    </w:p>
    <w:p w14:paraId="63E962E0" w14:textId="77777777" w:rsidR="00D70D43" w:rsidRPr="001D5171" w:rsidRDefault="00D70D43" w:rsidP="002E38A2">
      <w:pPr>
        <w:pStyle w:val="ListParagraph"/>
        <w:numPr>
          <w:ilvl w:val="1"/>
          <w:numId w:val="16"/>
        </w:numPr>
        <w:ind w:left="720"/>
        <w:jc w:val="both"/>
        <w:rPr>
          <w:rFonts w:ascii="Calibri" w:eastAsia="Times New Roman" w:hAnsi="Calibri" w:cs="Calibri"/>
        </w:rPr>
      </w:pPr>
      <w:r w:rsidRPr="00233C55">
        <w:rPr>
          <w:rFonts w:ascii="Calibri" w:eastAsia="Times New Roman" w:hAnsi="Calibri" w:cs="Calibri"/>
        </w:rPr>
        <w:t>Increased capacity of 5 e-waste associations</w:t>
      </w:r>
      <w:r>
        <w:rPr>
          <w:rFonts w:ascii="Calibri" w:eastAsia="Times New Roman" w:hAnsi="Calibri" w:cs="Calibri"/>
        </w:rPr>
        <w:t>/</w:t>
      </w:r>
      <w:r w:rsidRPr="001D5171">
        <w:rPr>
          <w:rFonts w:ascii="Calibri" w:eastAsia="Times New Roman" w:hAnsi="Calibri" w:cs="Calibri"/>
        </w:rPr>
        <w:t>cooperatives on safer practices and on business development</w:t>
      </w:r>
    </w:p>
    <w:p w14:paraId="0B8315C7" w14:textId="77777777" w:rsidR="00D70D43" w:rsidRDefault="00D70D43" w:rsidP="002E38A2">
      <w:pPr>
        <w:pStyle w:val="ListParagraph"/>
        <w:numPr>
          <w:ilvl w:val="1"/>
          <w:numId w:val="16"/>
        </w:numPr>
        <w:ind w:left="720"/>
        <w:jc w:val="both"/>
        <w:rPr>
          <w:rFonts w:ascii="Calibri" w:eastAsia="Times New Roman" w:hAnsi="Calibri" w:cs="Calibri"/>
        </w:rPr>
      </w:pPr>
      <w:r w:rsidRPr="001D5171">
        <w:rPr>
          <w:rFonts w:ascii="Calibri" w:eastAsia="Times New Roman" w:hAnsi="Calibri" w:cs="Calibri"/>
        </w:rPr>
        <w:t>Hazardous Waste and Electronic Wastes Management Committee operational</w:t>
      </w:r>
    </w:p>
    <w:p w14:paraId="3EE72412" w14:textId="77777777" w:rsidR="00D70D43" w:rsidRDefault="00D70D43" w:rsidP="00D70D43">
      <w:pPr>
        <w:ind w:left="3"/>
        <w:jc w:val="both"/>
        <w:rPr>
          <w:rFonts w:ascii="Calibri" w:eastAsia="Times New Roman" w:hAnsi="Calibri" w:cs="Calibri"/>
        </w:rPr>
      </w:pPr>
    </w:p>
    <w:p w14:paraId="445FA9E5" w14:textId="77777777" w:rsidR="00D70D43" w:rsidRDefault="00D70D43" w:rsidP="002E38A2">
      <w:pPr>
        <w:numPr>
          <w:ilvl w:val="0"/>
          <w:numId w:val="19"/>
        </w:numPr>
        <w:ind w:left="0" w:hanging="450"/>
        <w:contextualSpacing/>
        <w:jc w:val="both"/>
        <w:rPr>
          <w:rFonts w:ascii="Calibri" w:eastAsia="Times New Roman" w:hAnsi="Calibri" w:cs="Calibri"/>
        </w:rPr>
      </w:pPr>
      <w:r w:rsidRPr="00411E5A">
        <w:rPr>
          <w:rFonts w:ascii="Calibri" w:eastAsia="Calibri" w:hAnsi="Calibri" w:cs="Calibri"/>
          <w:b/>
          <w:lang w:val="en-GB"/>
        </w:rPr>
        <w:t>Component 2: Support policy dialogue and regulatory enhancements (US$ 1.9 million)</w:t>
      </w:r>
      <w:bookmarkStart w:id="22" w:name="_Hlk10108808"/>
      <w:r w:rsidRPr="00411E5A">
        <w:rPr>
          <w:rFonts w:ascii="Calibri" w:eastAsia="Calibri" w:hAnsi="Calibri" w:cs="Calibri"/>
          <w:b/>
          <w:lang w:val="en-GB"/>
        </w:rPr>
        <w:t xml:space="preserve">. </w:t>
      </w:r>
      <w:r>
        <w:rPr>
          <w:rFonts w:ascii="Calibri" w:eastAsia="Calibri" w:hAnsi="Calibri" w:cs="Calibri"/>
          <w:b/>
          <w:lang w:val="en-GB"/>
        </w:rPr>
        <w:t xml:space="preserve"> </w:t>
      </w:r>
      <w:r w:rsidRPr="00411E5A">
        <w:rPr>
          <w:rFonts w:ascii="Calibri" w:eastAsia="Calibri" w:hAnsi="Calibri" w:cs="Calibri"/>
          <w:lang w:val="en-GB"/>
        </w:rPr>
        <w:t xml:space="preserve">The </w:t>
      </w:r>
      <w:r>
        <w:rPr>
          <w:rFonts w:ascii="Calibri" w:eastAsia="Calibri" w:hAnsi="Calibri" w:cs="Calibri"/>
          <w:lang w:val="en-GB"/>
        </w:rPr>
        <w:t>c</w:t>
      </w:r>
      <w:r w:rsidRPr="00411E5A">
        <w:rPr>
          <w:rFonts w:ascii="Calibri" w:eastAsia="Calibri" w:hAnsi="Calibri" w:cs="Calibri"/>
          <w:lang w:val="en-GB"/>
        </w:rPr>
        <w:t xml:space="preserve">omponent seeks to </w:t>
      </w:r>
      <w:r>
        <w:rPr>
          <w:rFonts w:ascii="Calibri" w:eastAsia="Calibri" w:hAnsi="Calibri" w:cs="Calibri"/>
          <w:lang w:val="en-GB"/>
        </w:rPr>
        <w:t xml:space="preserve">address current policy challenges as well as to </w:t>
      </w:r>
      <w:r w:rsidRPr="00411E5A">
        <w:rPr>
          <w:rFonts w:ascii="Calibri" w:eastAsia="Calibri" w:hAnsi="Calibri" w:cs="Calibri"/>
          <w:lang w:val="en-GB"/>
        </w:rPr>
        <w:t>strengthen regulatory frameworks and facilitate their implementation</w:t>
      </w:r>
      <w:r>
        <w:rPr>
          <w:rFonts w:ascii="Calibri" w:eastAsia="Calibri" w:hAnsi="Calibri" w:cs="Calibri"/>
          <w:lang w:val="en-GB"/>
        </w:rPr>
        <w:t>,</w:t>
      </w:r>
      <w:r w:rsidRPr="00411E5A">
        <w:rPr>
          <w:rFonts w:ascii="Calibri" w:eastAsia="Calibri" w:hAnsi="Calibri" w:cs="Calibri"/>
          <w:lang w:val="en-GB"/>
        </w:rPr>
        <w:t xml:space="preserve"> to better </w:t>
      </w:r>
      <w:r w:rsidRPr="00411E5A">
        <w:rPr>
          <w:rFonts w:ascii="Calibri" w:eastAsia="Times New Roman" w:hAnsi="Calibri" w:cs="Calibri"/>
        </w:rPr>
        <w:t>address environmental health risks associated with mercury use in ASGM sector and POPs/UPOPs releases from e-waste.</w:t>
      </w:r>
      <w:r>
        <w:rPr>
          <w:rFonts w:ascii="Calibri" w:eastAsia="Times New Roman" w:hAnsi="Calibri" w:cs="Calibri"/>
        </w:rPr>
        <w:t xml:space="preserve">  It complements activities under component 3, focused on operational-level approaches to incentivize practices and technologies less harmful to human health and the environment.</w:t>
      </w:r>
    </w:p>
    <w:p w14:paraId="25058A7D" w14:textId="77777777" w:rsidR="00D70D43" w:rsidRPr="00531346" w:rsidRDefault="00D70D43" w:rsidP="00D70D43">
      <w:pPr>
        <w:rPr>
          <w:rFonts w:ascii="Calibri" w:eastAsia="Times New Roman" w:hAnsi="Calibri" w:cs="Calibri"/>
          <w:i/>
        </w:rPr>
      </w:pPr>
    </w:p>
    <w:p w14:paraId="609E9E26" w14:textId="77777777" w:rsidR="00D70D43" w:rsidRDefault="00D70D43" w:rsidP="00D70D43">
      <w:pPr>
        <w:ind w:left="3"/>
        <w:contextualSpacing/>
        <w:jc w:val="both"/>
        <w:rPr>
          <w:rFonts w:ascii="Calibri" w:eastAsia="Times New Roman" w:hAnsi="Calibri" w:cs="Calibri"/>
          <w:i/>
        </w:rPr>
      </w:pPr>
      <w:r w:rsidRPr="00531346">
        <w:rPr>
          <w:rFonts w:ascii="Calibri" w:eastAsia="Times New Roman" w:hAnsi="Calibri" w:cs="Calibri"/>
          <w:i/>
        </w:rPr>
        <w:t>Sub-component 2.1: Mercury management in ASGM</w:t>
      </w:r>
    </w:p>
    <w:p w14:paraId="4025EF3F" w14:textId="77777777" w:rsidR="00D70D43" w:rsidRDefault="00D70D43" w:rsidP="00D70D43">
      <w:pPr>
        <w:ind w:left="3"/>
        <w:contextualSpacing/>
        <w:jc w:val="both"/>
        <w:rPr>
          <w:rFonts w:ascii="Calibri" w:eastAsia="Times New Roman" w:hAnsi="Calibri" w:cs="Calibri"/>
        </w:rPr>
      </w:pPr>
    </w:p>
    <w:p w14:paraId="0A581CC1" w14:textId="77777777" w:rsidR="00D70D43" w:rsidRDefault="00D70D43" w:rsidP="002E38A2">
      <w:pPr>
        <w:numPr>
          <w:ilvl w:val="0"/>
          <w:numId w:val="19"/>
        </w:numPr>
        <w:ind w:left="0" w:hanging="450"/>
        <w:contextualSpacing/>
        <w:jc w:val="both"/>
        <w:rPr>
          <w:rFonts w:ascii="Calibri" w:eastAsia="Times New Roman" w:hAnsi="Calibri" w:cs="Calibri"/>
        </w:rPr>
      </w:pPr>
      <w:r w:rsidRPr="00730711">
        <w:rPr>
          <w:rFonts w:ascii="Calibri" w:eastAsia="Times New Roman" w:hAnsi="Calibri" w:cs="Calibri"/>
          <w:u w:val="single"/>
        </w:rPr>
        <w:t>Strengthening the regulatory framework:</w:t>
      </w:r>
      <w:r w:rsidRPr="00730711">
        <w:rPr>
          <w:rFonts w:ascii="Calibri" w:eastAsia="Times New Roman" w:hAnsi="Calibri" w:cs="Calibri"/>
        </w:rPr>
        <w:t xml:space="preserve"> </w:t>
      </w:r>
      <w:r w:rsidRPr="00E23836">
        <w:rPr>
          <w:rFonts w:ascii="Calibri" w:eastAsia="Times New Roman" w:hAnsi="Calibri" w:cs="Calibri"/>
        </w:rPr>
        <w:t xml:space="preserve">Ghana’s Initial Assessment finds that there is no single law that comprehensively covers all the provisions of the Minamata Convention and rather that some existing laws seek to address some of the challenges posed by mercury that the Convention also seeks to address.  The Initial Assessment for Ghana thus recommends the development and enactment of a new legislation and regulations that will ensure compliance with the provisions of the Convention, </w:t>
      </w:r>
      <w:proofErr w:type="gramStart"/>
      <w:r w:rsidRPr="00E23836">
        <w:rPr>
          <w:rFonts w:ascii="Calibri" w:eastAsia="Times New Roman" w:hAnsi="Calibri" w:cs="Calibri"/>
        </w:rPr>
        <w:t>taking into account</w:t>
      </w:r>
      <w:proofErr w:type="gramEnd"/>
      <w:r w:rsidRPr="00E23836">
        <w:rPr>
          <w:rFonts w:ascii="Calibri" w:eastAsia="Times New Roman" w:hAnsi="Calibri" w:cs="Calibri"/>
        </w:rPr>
        <w:t xml:space="preserve"> other existing laws.  The Project </w:t>
      </w:r>
      <w:r w:rsidRPr="00E23836">
        <w:rPr>
          <w:rFonts w:ascii="Calibri" w:eastAsia="Times New Roman" w:hAnsi="Calibri" w:cs="Calibri"/>
          <w:noProof/>
        </w:rPr>
        <w:t>will support</w:t>
      </w:r>
      <w:r w:rsidRPr="00E23836">
        <w:rPr>
          <w:rFonts w:ascii="Calibri" w:eastAsia="Times New Roman" w:hAnsi="Calibri" w:cs="Calibri"/>
        </w:rPr>
        <w:t xml:space="preserve"> assessment and analysis of national institutional, policy, and legislative gaps in mercury management in Ghana to meet the requirements of the Minamata Convention.  It will also support the development of a legal framework that incorporates the obligations under the Minamata Convention as well as an administrative structure for its full and effective implementation.  In addition, the Project will support the development of interim standards for mercury management along the value</w:t>
      </w:r>
      <w:r>
        <w:rPr>
          <w:rFonts w:ascii="Calibri" w:eastAsia="Times New Roman" w:hAnsi="Calibri" w:cs="Calibri"/>
        </w:rPr>
        <w:t>-</w:t>
      </w:r>
      <w:r w:rsidRPr="00E23836">
        <w:rPr>
          <w:rFonts w:ascii="Calibri" w:eastAsia="Times New Roman" w:hAnsi="Calibri" w:cs="Calibri"/>
        </w:rPr>
        <w:t xml:space="preserve">chain (e.g., for transport, storage) while the Government works towards phasing out.  Information from the National Mercury Inventory (NMI) </w:t>
      </w:r>
      <w:r>
        <w:rPr>
          <w:rFonts w:ascii="Calibri" w:eastAsia="Times New Roman" w:hAnsi="Calibri" w:cs="Calibri"/>
        </w:rPr>
        <w:t>will guide the development of these interim standards by indicating which segments of the value-chain should be priority focus of intervention.</w:t>
      </w:r>
      <w:r w:rsidRPr="00531346" w:rsidDel="000E41D2">
        <w:rPr>
          <w:rFonts w:ascii="Calibri" w:eastAsia="Times New Roman" w:hAnsi="Calibri" w:cs="Calibri"/>
        </w:rPr>
        <w:t xml:space="preserve"> </w:t>
      </w:r>
    </w:p>
    <w:p w14:paraId="7153DBEC" w14:textId="77777777" w:rsidR="00D70D43" w:rsidRDefault="00D70D43" w:rsidP="00D70D43">
      <w:pPr>
        <w:ind w:left="3"/>
        <w:contextualSpacing/>
        <w:jc w:val="both"/>
        <w:rPr>
          <w:rFonts w:ascii="Calibri" w:eastAsia="Times New Roman" w:hAnsi="Calibri" w:cs="Calibri"/>
        </w:rPr>
      </w:pPr>
    </w:p>
    <w:p w14:paraId="3928D556" w14:textId="77777777" w:rsidR="00D70D43" w:rsidRPr="00F87989" w:rsidRDefault="00D70D43" w:rsidP="002E38A2">
      <w:pPr>
        <w:numPr>
          <w:ilvl w:val="0"/>
          <w:numId w:val="19"/>
        </w:numPr>
        <w:ind w:left="0" w:hanging="450"/>
        <w:contextualSpacing/>
        <w:jc w:val="both"/>
        <w:rPr>
          <w:rFonts w:ascii="Calibri" w:eastAsia="Times New Roman" w:hAnsi="Calibri" w:cs="Calibri"/>
        </w:rPr>
      </w:pPr>
      <w:r w:rsidRPr="00223D5B">
        <w:rPr>
          <w:rFonts w:ascii="Calibri" w:eastAsia="Times New Roman" w:hAnsi="Calibri" w:cs="Calibri"/>
          <w:i/>
          <w:u w:val="single"/>
        </w:rPr>
        <w:t>Development of technology and finance roadmaps:</w:t>
      </w:r>
      <w:r w:rsidRPr="00223D5B">
        <w:rPr>
          <w:rFonts w:ascii="Calibri" w:eastAsia="Times New Roman" w:hAnsi="Calibri" w:cs="Calibri"/>
        </w:rPr>
        <w:t xml:space="preserve">  The Project will support the preparation of technology roadmaps for a few, promising options, which will consider, for each of them, the information, capacity, policy, and finance levers that must be triggered for their adoption at scale.  Preparation of these</w:t>
      </w:r>
      <w:r>
        <w:rPr>
          <w:rFonts w:ascii="Calibri" w:eastAsia="Times New Roman" w:hAnsi="Calibri" w:cs="Calibri"/>
        </w:rPr>
        <w:t xml:space="preserve"> </w:t>
      </w:r>
      <w:r w:rsidRPr="00223D5B">
        <w:rPr>
          <w:rFonts w:ascii="Calibri" w:eastAsia="Times New Roman" w:hAnsi="Calibri" w:cs="Calibri"/>
        </w:rPr>
        <w:t xml:space="preserve">roadmaps </w:t>
      </w:r>
      <w:r w:rsidRPr="00223D5B">
        <w:rPr>
          <w:rFonts w:ascii="Calibri" w:eastAsia="Times New Roman" w:hAnsi="Calibri" w:cs="Calibri"/>
          <w:noProof/>
        </w:rPr>
        <w:t>will involve</w:t>
      </w:r>
      <w:r w:rsidRPr="00223D5B">
        <w:rPr>
          <w:rFonts w:ascii="Calibri" w:eastAsia="Times New Roman" w:hAnsi="Calibri" w:cs="Calibri"/>
        </w:rPr>
        <w:t xml:space="preserve"> </w:t>
      </w:r>
      <w:r w:rsidRPr="00223D5B">
        <w:rPr>
          <w:rFonts w:ascii="Calibri" w:eastAsia="Times New Roman" w:hAnsi="Calibri" w:cs="Calibri"/>
          <w:noProof/>
        </w:rPr>
        <w:t>gathering</w:t>
      </w:r>
      <w:r w:rsidRPr="00223D5B">
        <w:rPr>
          <w:rFonts w:ascii="Calibri" w:eastAsia="Times New Roman" w:hAnsi="Calibri" w:cs="Calibri"/>
        </w:rPr>
        <w:t xml:space="preserve"> of data, engagement and consultation with stakeholders.  Feasibility studies for various technologies might also be undertaken, in particular to consider affordability (both in terms of CAPEX but also OPEX), environmental impact (e.g., on land contamination as in the case of retorts), as well as suitability (types of ore/geology), complexity (including in getting spare parts), and social dimensions (e.g., impact on livelihood and employment opportunities).</w:t>
      </w:r>
      <w:r>
        <w:rPr>
          <w:rFonts w:ascii="Calibri" w:eastAsia="Times New Roman" w:hAnsi="Calibri" w:cs="Calibri"/>
        </w:rPr>
        <w:t xml:space="preserve">  The Project will also support a detailed assessment on access to finance for artisanal and small-scale miners, as that is one of the limiting factors for the adoption of new practices and technologies, more respectful of the environment.  Findings from the assessment could also inform some capacity enhancement activities (to be financed under Sub-component 1.1) such as helping miners to prepare business plans and loan applications for cleaner mining technologies and practices.</w:t>
      </w:r>
    </w:p>
    <w:p w14:paraId="6E8D0D98" w14:textId="77777777" w:rsidR="00D70D43" w:rsidRDefault="00D70D43" w:rsidP="00D70D43">
      <w:pPr>
        <w:pStyle w:val="ListParagraph"/>
        <w:ind w:left="3"/>
        <w:jc w:val="both"/>
        <w:rPr>
          <w:rFonts w:ascii="Calibri" w:eastAsia="Times New Roman" w:hAnsi="Calibri" w:cs="Calibri"/>
          <w:i/>
        </w:rPr>
      </w:pPr>
      <w:r w:rsidRPr="00A51EF0">
        <w:rPr>
          <w:rFonts w:ascii="Calibri" w:eastAsia="Times New Roman" w:hAnsi="Calibri" w:cs="Calibri"/>
          <w:i/>
        </w:rPr>
        <w:t xml:space="preserve">Expected Results of Sub-component </w:t>
      </w:r>
      <w:r>
        <w:rPr>
          <w:rFonts w:ascii="Calibri" w:eastAsia="Times New Roman" w:hAnsi="Calibri" w:cs="Calibri"/>
          <w:i/>
        </w:rPr>
        <w:t>2.1</w:t>
      </w:r>
    </w:p>
    <w:p w14:paraId="344F79C1" w14:textId="77777777" w:rsidR="00D70D43" w:rsidRDefault="00D70D43" w:rsidP="002E38A2">
      <w:pPr>
        <w:pStyle w:val="ListParagraph"/>
        <w:numPr>
          <w:ilvl w:val="0"/>
          <w:numId w:val="17"/>
        </w:numPr>
        <w:jc w:val="both"/>
        <w:rPr>
          <w:rFonts w:ascii="Calibri" w:eastAsia="Times New Roman" w:hAnsi="Calibri" w:cs="Calibri"/>
        </w:rPr>
      </w:pPr>
      <w:r w:rsidRPr="00AA33A7">
        <w:rPr>
          <w:rFonts w:ascii="Calibri" w:eastAsia="Times New Roman" w:hAnsi="Calibri" w:cs="Calibri"/>
        </w:rPr>
        <w:t>Strengthened policy and regulations for mercury management developed as per Minamata Assessment</w:t>
      </w:r>
    </w:p>
    <w:p w14:paraId="67FEAC90" w14:textId="77777777" w:rsidR="00D70D43" w:rsidRDefault="00D70D43" w:rsidP="002E38A2">
      <w:pPr>
        <w:pStyle w:val="ListParagraph"/>
        <w:numPr>
          <w:ilvl w:val="0"/>
          <w:numId w:val="17"/>
        </w:numPr>
        <w:jc w:val="both"/>
        <w:rPr>
          <w:rFonts w:ascii="Calibri" w:eastAsia="Times New Roman" w:hAnsi="Calibri" w:cs="Calibri"/>
        </w:rPr>
      </w:pPr>
      <w:r>
        <w:rPr>
          <w:rFonts w:ascii="Calibri" w:eastAsia="Times New Roman" w:hAnsi="Calibri" w:cs="Calibri"/>
        </w:rPr>
        <w:t>Technology roadmaps developed for promising mercury-free technologies</w:t>
      </w:r>
    </w:p>
    <w:p w14:paraId="302F0D25" w14:textId="77777777" w:rsidR="00D70D43" w:rsidRPr="00AA33A7" w:rsidRDefault="00D70D43" w:rsidP="002E38A2">
      <w:pPr>
        <w:pStyle w:val="ListParagraph"/>
        <w:numPr>
          <w:ilvl w:val="0"/>
          <w:numId w:val="17"/>
        </w:numPr>
        <w:jc w:val="both"/>
        <w:rPr>
          <w:rFonts w:ascii="Calibri" w:eastAsia="Times New Roman" w:hAnsi="Calibri" w:cs="Calibri"/>
        </w:rPr>
      </w:pPr>
      <w:r>
        <w:rPr>
          <w:rFonts w:ascii="Calibri" w:eastAsia="Times New Roman" w:hAnsi="Calibri" w:cs="Calibri"/>
        </w:rPr>
        <w:t>Capacity enhancement working sessions with ASMG associations to prepare business plans and loan applications</w:t>
      </w:r>
    </w:p>
    <w:p w14:paraId="18180F73" w14:textId="77777777" w:rsidR="00D70D43" w:rsidRDefault="00D70D43" w:rsidP="00D70D43">
      <w:pPr>
        <w:contextualSpacing/>
        <w:jc w:val="both"/>
        <w:rPr>
          <w:rFonts w:ascii="Calibri" w:eastAsia="Times New Roman" w:hAnsi="Calibri" w:cs="Calibri"/>
          <w:i/>
        </w:rPr>
      </w:pPr>
    </w:p>
    <w:p w14:paraId="6E155B6F" w14:textId="77777777" w:rsidR="00D70D43" w:rsidRDefault="00D70D43" w:rsidP="00D70D43">
      <w:pPr>
        <w:ind w:left="3"/>
        <w:contextualSpacing/>
        <w:jc w:val="both"/>
        <w:rPr>
          <w:rFonts w:ascii="Calibri" w:eastAsia="Times New Roman" w:hAnsi="Calibri" w:cs="Calibri"/>
        </w:rPr>
      </w:pPr>
      <w:r w:rsidRPr="003C6803">
        <w:rPr>
          <w:rFonts w:ascii="Calibri" w:eastAsia="Times New Roman" w:hAnsi="Calibri" w:cs="Calibri"/>
          <w:i/>
        </w:rPr>
        <w:t>Sub-component 2.2: e-waste management</w:t>
      </w:r>
    </w:p>
    <w:p w14:paraId="4461950E" w14:textId="77777777" w:rsidR="00D70D43" w:rsidRDefault="00D70D43" w:rsidP="002E38A2">
      <w:pPr>
        <w:numPr>
          <w:ilvl w:val="0"/>
          <w:numId w:val="19"/>
        </w:numPr>
        <w:ind w:left="0" w:hanging="450"/>
        <w:contextualSpacing/>
        <w:jc w:val="both"/>
        <w:rPr>
          <w:rFonts w:ascii="Calibri" w:eastAsia="Times New Roman" w:hAnsi="Calibri" w:cs="Calibri"/>
        </w:rPr>
      </w:pPr>
      <w:r w:rsidRPr="003C6803">
        <w:rPr>
          <w:rFonts w:ascii="Calibri" w:eastAsia="Times New Roman" w:hAnsi="Calibri" w:cs="Calibri"/>
        </w:rPr>
        <w:t xml:space="preserve">This component </w:t>
      </w:r>
      <w:r w:rsidRPr="003C6803">
        <w:rPr>
          <w:rFonts w:ascii="Calibri" w:eastAsia="Times New Roman" w:hAnsi="Calibri" w:cs="Calibri"/>
          <w:noProof/>
        </w:rPr>
        <w:t>will support</w:t>
      </w:r>
      <w:r w:rsidRPr="003C6803">
        <w:rPr>
          <w:rFonts w:ascii="Calibri" w:eastAsia="Times New Roman" w:hAnsi="Calibri" w:cs="Calibri"/>
        </w:rPr>
        <w:t xml:space="preserve"> the Government’s efforts in strengthening the current environmental policies and regulations related to health and environmental risks associated with e-waste management and hazardous waste.  </w:t>
      </w:r>
    </w:p>
    <w:p w14:paraId="6EA00AEE" w14:textId="77777777" w:rsidR="00D70D43" w:rsidRDefault="00D70D43" w:rsidP="00D70D43">
      <w:pPr>
        <w:ind w:left="3"/>
        <w:contextualSpacing/>
        <w:jc w:val="both"/>
        <w:rPr>
          <w:rFonts w:ascii="Calibri" w:eastAsia="Times New Roman" w:hAnsi="Calibri" w:cs="Calibri"/>
        </w:rPr>
      </w:pPr>
    </w:p>
    <w:p w14:paraId="0CD04C4B" w14:textId="77777777" w:rsidR="00D70D43" w:rsidRPr="006452A2" w:rsidRDefault="00D70D43" w:rsidP="002E38A2">
      <w:pPr>
        <w:numPr>
          <w:ilvl w:val="0"/>
          <w:numId w:val="19"/>
        </w:numPr>
        <w:ind w:left="0" w:hanging="432"/>
        <w:jc w:val="both"/>
        <w:rPr>
          <w:rFonts w:ascii="Calibri" w:eastAsia="Times New Roman" w:hAnsi="Calibri" w:cs="Calibri"/>
        </w:rPr>
      </w:pPr>
      <w:r w:rsidRPr="00730711">
        <w:rPr>
          <w:rFonts w:ascii="Calibri" w:eastAsia="Times New Roman" w:hAnsi="Calibri" w:cs="Calibri"/>
          <w:u w:val="single"/>
        </w:rPr>
        <w:t>Strengthening the regulatory framework:</w:t>
      </w:r>
      <w:r w:rsidRPr="00730711">
        <w:rPr>
          <w:rFonts w:ascii="Calibri" w:eastAsia="Times New Roman" w:hAnsi="Calibri" w:cs="Calibri"/>
        </w:rPr>
        <w:t xml:space="preserve"> MESTI, with GIZ support, is </w:t>
      </w:r>
      <w:r>
        <w:rPr>
          <w:rFonts w:ascii="Calibri" w:eastAsia="Times New Roman" w:hAnsi="Calibri" w:cs="Calibri"/>
        </w:rPr>
        <w:t>developing</w:t>
      </w:r>
      <w:r w:rsidRPr="00730711">
        <w:rPr>
          <w:rFonts w:ascii="Calibri" w:eastAsia="Times New Roman" w:hAnsi="Calibri" w:cs="Calibri"/>
        </w:rPr>
        <w:t xml:space="preserve"> an e-waste policy</w:t>
      </w:r>
      <w:r>
        <w:rPr>
          <w:rFonts w:ascii="Calibri" w:eastAsia="Times New Roman" w:hAnsi="Calibri" w:cs="Calibri"/>
        </w:rPr>
        <w:t>,</w:t>
      </w:r>
      <w:r w:rsidRPr="00730711">
        <w:rPr>
          <w:rFonts w:ascii="Calibri" w:eastAsia="Times New Roman" w:hAnsi="Calibri" w:cs="Calibri"/>
        </w:rPr>
        <w:t xml:space="preserve"> but </w:t>
      </w:r>
      <w:r>
        <w:rPr>
          <w:rFonts w:ascii="Calibri" w:eastAsia="Times New Roman" w:hAnsi="Calibri" w:cs="Calibri"/>
        </w:rPr>
        <w:t xml:space="preserve">an </w:t>
      </w:r>
      <w:r w:rsidRPr="00730711">
        <w:rPr>
          <w:rFonts w:ascii="Calibri" w:eastAsia="Times New Roman" w:hAnsi="Calibri" w:cs="Calibri"/>
        </w:rPr>
        <w:t>implementation plan</w:t>
      </w:r>
      <w:r>
        <w:rPr>
          <w:rFonts w:ascii="Calibri" w:eastAsia="Times New Roman" w:hAnsi="Calibri" w:cs="Calibri"/>
        </w:rPr>
        <w:t>, monitoring and evaluation plan, and communication strategy are</w:t>
      </w:r>
      <w:r w:rsidRPr="00730711">
        <w:rPr>
          <w:rFonts w:ascii="Calibri" w:eastAsia="Times New Roman" w:hAnsi="Calibri" w:cs="Calibri"/>
        </w:rPr>
        <w:t xml:space="preserve"> lacking.  The Project will help prepare an implementation plan</w:t>
      </w:r>
      <w:r>
        <w:rPr>
          <w:rFonts w:ascii="Calibri" w:eastAsia="Times New Roman" w:hAnsi="Calibri" w:cs="Calibri"/>
        </w:rPr>
        <w:t>, monitoring and evaluation plan, and communication strategy</w:t>
      </w:r>
      <w:r w:rsidRPr="00730711">
        <w:rPr>
          <w:rFonts w:ascii="Calibri" w:eastAsia="Times New Roman" w:hAnsi="Calibri" w:cs="Calibri"/>
        </w:rPr>
        <w:t xml:space="preserve"> in support of the national integrated e-waste management scheme, that will look at </w:t>
      </w:r>
      <w:r w:rsidRPr="00B77E65">
        <w:rPr>
          <w:rFonts w:ascii="Calibri" w:eastAsia="Times New Roman" w:hAnsi="Calibri" w:cs="Calibri"/>
        </w:rPr>
        <w:t>the information, capacity, policy</w:t>
      </w:r>
      <w:r w:rsidRPr="004705AC">
        <w:rPr>
          <w:rFonts w:ascii="Calibri" w:eastAsia="Times New Roman" w:hAnsi="Calibri" w:cs="Calibri"/>
        </w:rPr>
        <w:t>, and finance</w:t>
      </w:r>
      <w:r w:rsidRPr="006452A2">
        <w:rPr>
          <w:rFonts w:ascii="Calibri" w:eastAsia="Times New Roman" w:hAnsi="Calibri" w:cs="Calibri"/>
        </w:rPr>
        <w:t xml:space="preserve"> gaps and needs, at very practical levels</w:t>
      </w:r>
      <w:r>
        <w:rPr>
          <w:rFonts w:ascii="Calibri" w:eastAsia="Times New Roman" w:hAnsi="Calibri" w:cs="Calibri"/>
        </w:rPr>
        <w:t xml:space="preserve"> to support straight-forward operational implementation</w:t>
      </w:r>
      <w:r w:rsidRPr="006452A2">
        <w:rPr>
          <w:rFonts w:ascii="Calibri" w:eastAsia="Times New Roman" w:hAnsi="Calibri" w:cs="Calibri"/>
        </w:rPr>
        <w:t>.</w:t>
      </w:r>
    </w:p>
    <w:p w14:paraId="2E0B883A" w14:textId="77777777" w:rsidR="00D70D43" w:rsidRPr="008F6E72" w:rsidRDefault="00D70D43" w:rsidP="002E38A2">
      <w:pPr>
        <w:numPr>
          <w:ilvl w:val="0"/>
          <w:numId w:val="19"/>
        </w:numPr>
        <w:ind w:left="0" w:hanging="450"/>
        <w:contextualSpacing/>
        <w:jc w:val="both"/>
        <w:rPr>
          <w:rFonts w:ascii="Calibri" w:eastAsia="Times New Roman" w:hAnsi="Calibri" w:cs="Calibri"/>
        </w:rPr>
      </w:pPr>
      <w:r w:rsidRPr="008F6E72">
        <w:rPr>
          <w:rFonts w:ascii="Calibri" w:eastAsia="Times New Roman" w:hAnsi="Calibri" w:cs="Calibri"/>
          <w:u w:val="single"/>
        </w:rPr>
        <w:t>Identifying economic opportunities:</w:t>
      </w:r>
      <w:r w:rsidRPr="008F6E72">
        <w:rPr>
          <w:rFonts w:ascii="Calibri" w:eastAsia="Times New Roman" w:hAnsi="Calibri" w:cs="Calibri"/>
        </w:rPr>
        <w:t xml:space="preserve"> This </w:t>
      </w:r>
      <w:r>
        <w:rPr>
          <w:rFonts w:ascii="Calibri" w:eastAsia="Times New Roman" w:hAnsi="Calibri" w:cs="Calibri"/>
        </w:rPr>
        <w:t>sub-</w:t>
      </w:r>
      <w:r w:rsidRPr="008F6E72">
        <w:rPr>
          <w:rFonts w:ascii="Calibri" w:eastAsia="Times New Roman" w:hAnsi="Calibri" w:cs="Calibri"/>
        </w:rPr>
        <w:t>component will also support economic assessments to further inform the environmental regulator, including:</w:t>
      </w:r>
    </w:p>
    <w:p w14:paraId="0B75EEA4" w14:textId="77777777" w:rsidR="00D70D43" w:rsidRPr="00547B1B" w:rsidRDefault="00D70D43" w:rsidP="002E38A2">
      <w:pPr>
        <w:numPr>
          <w:ilvl w:val="0"/>
          <w:numId w:val="12"/>
        </w:numPr>
        <w:tabs>
          <w:tab w:val="left" w:pos="0"/>
        </w:tabs>
        <w:jc w:val="both"/>
        <w:rPr>
          <w:rFonts w:ascii="Calibri" w:eastAsia="Times New Roman" w:hAnsi="Calibri" w:cs="Calibri"/>
        </w:rPr>
      </w:pPr>
      <w:r w:rsidRPr="00547B1B">
        <w:rPr>
          <w:rFonts w:ascii="Calibri" w:eastAsia="Times New Roman" w:hAnsi="Calibri" w:cs="Calibri"/>
        </w:rPr>
        <w:t>An assessment of the plastics that come with e-waste (e.g., computer casing, etc.), with a view to explore possible valorization and what it takes to turn it into a viable proposition;</w:t>
      </w:r>
    </w:p>
    <w:p w14:paraId="4650CDB0" w14:textId="77777777" w:rsidR="00D70D43" w:rsidRDefault="00D70D43" w:rsidP="002E38A2">
      <w:pPr>
        <w:numPr>
          <w:ilvl w:val="0"/>
          <w:numId w:val="12"/>
        </w:numPr>
        <w:tabs>
          <w:tab w:val="left" w:pos="0"/>
        </w:tabs>
        <w:jc w:val="both"/>
        <w:rPr>
          <w:rFonts w:ascii="Calibri" w:eastAsia="Times New Roman" w:hAnsi="Calibri" w:cs="Calibri"/>
        </w:rPr>
      </w:pPr>
      <w:r w:rsidRPr="00547B1B">
        <w:rPr>
          <w:rFonts w:ascii="Calibri" w:eastAsia="Times New Roman" w:hAnsi="Calibri" w:cs="Calibri"/>
        </w:rPr>
        <w:t xml:space="preserve">An assessment to understand the economics of the </w:t>
      </w:r>
      <w:r>
        <w:rPr>
          <w:rFonts w:ascii="Calibri" w:eastAsia="Times New Roman" w:hAnsi="Calibri" w:cs="Calibri"/>
        </w:rPr>
        <w:t>eco</w:t>
      </w:r>
      <w:r w:rsidRPr="00547B1B">
        <w:rPr>
          <w:rFonts w:ascii="Calibri" w:eastAsia="Times New Roman" w:hAnsi="Calibri" w:cs="Calibri"/>
        </w:rPr>
        <w:t xml:space="preserve">-levy, and answer in particular those questions: </w:t>
      </w:r>
      <w:r>
        <w:rPr>
          <w:rFonts w:ascii="Calibri" w:eastAsia="Times New Roman" w:hAnsi="Calibri" w:cs="Calibri"/>
        </w:rPr>
        <w:t xml:space="preserve">(i) </w:t>
      </w:r>
      <w:r w:rsidRPr="00547B1B">
        <w:rPr>
          <w:rFonts w:ascii="Calibri" w:eastAsia="Times New Roman" w:hAnsi="Calibri" w:cs="Calibri"/>
        </w:rPr>
        <w:t xml:space="preserve">at which step(s) in the circular economy it could play the largest role (e.g., upstream to encourage scrap dealers, downstream to cover cost of treatment and handling of final products, etc.)?; </w:t>
      </w:r>
      <w:r>
        <w:rPr>
          <w:rFonts w:ascii="Calibri" w:eastAsia="Times New Roman" w:hAnsi="Calibri" w:cs="Calibri"/>
        </w:rPr>
        <w:t xml:space="preserve">(ii) </w:t>
      </w:r>
      <w:r w:rsidRPr="00547B1B">
        <w:rPr>
          <w:rFonts w:ascii="Calibri" w:eastAsia="Times New Roman" w:hAnsi="Calibri" w:cs="Calibri"/>
        </w:rPr>
        <w:t>how to combine the e</w:t>
      </w:r>
      <w:r>
        <w:rPr>
          <w:rFonts w:ascii="Calibri" w:eastAsia="Times New Roman" w:hAnsi="Calibri" w:cs="Calibri"/>
        </w:rPr>
        <w:t>co</w:t>
      </w:r>
      <w:r w:rsidRPr="00547B1B">
        <w:rPr>
          <w:rFonts w:ascii="Calibri" w:eastAsia="Times New Roman" w:hAnsi="Calibri" w:cs="Calibri"/>
        </w:rPr>
        <w:t xml:space="preserve">-levy with </w:t>
      </w:r>
      <w:r>
        <w:rPr>
          <w:rFonts w:ascii="Calibri" w:eastAsia="Times New Roman" w:hAnsi="Calibri" w:cs="Calibri"/>
        </w:rPr>
        <w:t xml:space="preserve">an </w:t>
      </w:r>
      <w:r w:rsidRPr="00547B1B">
        <w:rPr>
          <w:rFonts w:ascii="Calibri" w:eastAsia="Times New Roman" w:hAnsi="Calibri" w:cs="Calibri"/>
        </w:rPr>
        <w:t xml:space="preserve">Extended Producer Responsibility (EPR) </w:t>
      </w:r>
      <w:r>
        <w:rPr>
          <w:rFonts w:ascii="Calibri" w:eastAsia="Times New Roman" w:hAnsi="Calibri" w:cs="Calibri"/>
        </w:rPr>
        <w:lastRenderedPageBreak/>
        <w:t>scheme?;and (iii)  should electronic manufacturing be develop in Ghana?; among other emerging and topical questions.</w:t>
      </w:r>
    </w:p>
    <w:p w14:paraId="24EFB70D" w14:textId="77777777" w:rsidR="00D70D43" w:rsidRDefault="00D70D43" w:rsidP="002E38A2">
      <w:pPr>
        <w:numPr>
          <w:ilvl w:val="0"/>
          <w:numId w:val="19"/>
        </w:numPr>
        <w:ind w:left="0" w:hanging="450"/>
        <w:jc w:val="both"/>
        <w:rPr>
          <w:rFonts w:ascii="Calibri" w:eastAsia="Times New Roman" w:hAnsi="Calibri" w:cs="Calibri"/>
        </w:rPr>
      </w:pPr>
      <w:r w:rsidRPr="005C10AD">
        <w:rPr>
          <w:rFonts w:ascii="Calibri" w:eastAsia="Times New Roman" w:hAnsi="Calibri" w:cs="Calibri"/>
        </w:rPr>
        <w:t>Both could help assess the private sector’s interest and viability of further engaging into e-waste processing and the parameters required for Public Private Partnership Project (PPP) to work in Ghana.</w:t>
      </w:r>
      <w:bookmarkEnd w:id="22"/>
    </w:p>
    <w:p w14:paraId="1B4E2699" w14:textId="77777777" w:rsidR="00D70D43" w:rsidRDefault="00D70D43" w:rsidP="00D70D43">
      <w:pPr>
        <w:pStyle w:val="ListParagraph"/>
        <w:ind w:left="3"/>
        <w:jc w:val="both"/>
        <w:rPr>
          <w:rFonts w:ascii="Calibri" w:eastAsia="Times New Roman" w:hAnsi="Calibri" w:cs="Calibri"/>
          <w:i/>
        </w:rPr>
      </w:pPr>
      <w:r w:rsidRPr="00A51EF0">
        <w:rPr>
          <w:rFonts w:ascii="Calibri" w:eastAsia="Times New Roman" w:hAnsi="Calibri" w:cs="Calibri"/>
          <w:i/>
        </w:rPr>
        <w:t xml:space="preserve">Expected Results of Sub-component </w:t>
      </w:r>
      <w:r>
        <w:rPr>
          <w:rFonts w:ascii="Calibri" w:eastAsia="Times New Roman" w:hAnsi="Calibri" w:cs="Calibri"/>
          <w:i/>
        </w:rPr>
        <w:t>2.2</w:t>
      </w:r>
    </w:p>
    <w:p w14:paraId="202B69E4" w14:textId="77777777" w:rsidR="00D70D43" w:rsidRDefault="00D70D43" w:rsidP="002E38A2">
      <w:pPr>
        <w:pStyle w:val="ListParagraph"/>
        <w:numPr>
          <w:ilvl w:val="0"/>
          <w:numId w:val="18"/>
        </w:numPr>
        <w:jc w:val="both"/>
        <w:rPr>
          <w:rFonts w:ascii="Calibri" w:eastAsia="Times New Roman" w:hAnsi="Calibri" w:cs="Calibri"/>
        </w:rPr>
      </w:pPr>
      <w:r w:rsidRPr="00C92462">
        <w:rPr>
          <w:rFonts w:ascii="Calibri" w:eastAsia="Times New Roman" w:hAnsi="Calibri" w:cs="Calibri"/>
        </w:rPr>
        <w:t xml:space="preserve">Strengthened policy and regulations for </w:t>
      </w:r>
      <w:r>
        <w:rPr>
          <w:rFonts w:ascii="Calibri" w:eastAsia="Times New Roman" w:hAnsi="Calibri" w:cs="Calibri"/>
        </w:rPr>
        <w:t>e-waste</w:t>
      </w:r>
      <w:r w:rsidRPr="00C92462">
        <w:rPr>
          <w:rFonts w:ascii="Calibri" w:eastAsia="Times New Roman" w:hAnsi="Calibri" w:cs="Calibri"/>
        </w:rPr>
        <w:t xml:space="preserve"> management</w:t>
      </w:r>
      <w:r>
        <w:rPr>
          <w:rFonts w:ascii="Calibri" w:eastAsia="Times New Roman" w:hAnsi="Calibri" w:cs="Calibri"/>
        </w:rPr>
        <w:t xml:space="preserve"> with a clear implementation plan</w:t>
      </w:r>
    </w:p>
    <w:p w14:paraId="3C8A0D0C" w14:textId="77777777" w:rsidR="00D70D43" w:rsidRDefault="00D70D43" w:rsidP="002E38A2">
      <w:pPr>
        <w:pStyle w:val="ListParagraph"/>
        <w:numPr>
          <w:ilvl w:val="0"/>
          <w:numId w:val="18"/>
        </w:numPr>
        <w:jc w:val="both"/>
        <w:rPr>
          <w:rFonts w:ascii="Calibri" w:eastAsia="Times New Roman" w:hAnsi="Calibri" w:cs="Calibri"/>
        </w:rPr>
      </w:pPr>
      <w:r>
        <w:rPr>
          <w:rFonts w:ascii="Calibri" w:eastAsia="Times New Roman" w:hAnsi="Calibri" w:cs="Calibri"/>
        </w:rPr>
        <w:t>B</w:t>
      </w:r>
      <w:r w:rsidRPr="007E5D1C">
        <w:rPr>
          <w:rFonts w:ascii="Calibri" w:eastAsia="Times New Roman" w:hAnsi="Calibri" w:cs="Calibri"/>
        </w:rPr>
        <w:t>etter understanding of economic opportunities</w:t>
      </w:r>
      <w:r>
        <w:rPr>
          <w:rFonts w:ascii="Calibri" w:eastAsia="Times New Roman" w:hAnsi="Calibri" w:cs="Calibri"/>
        </w:rPr>
        <w:t xml:space="preserve"> in e-waste management</w:t>
      </w:r>
    </w:p>
    <w:p w14:paraId="17234833" w14:textId="77777777" w:rsidR="00D70D43" w:rsidRDefault="00D70D43" w:rsidP="00D70D43">
      <w:pPr>
        <w:ind w:left="3"/>
        <w:jc w:val="both"/>
        <w:rPr>
          <w:rFonts w:ascii="Calibri" w:eastAsia="Times New Roman" w:hAnsi="Calibri" w:cs="Calibri"/>
        </w:rPr>
      </w:pPr>
    </w:p>
    <w:p w14:paraId="3F9580E7" w14:textId="77777777" w:rsidR="00D70D43" w:rsidRPr="00F23F93" w:rsidRDefault="00D70D43" w:rsidP="002E38A2">
      <w:pPr>
        <w:numPr>
          <w:ilvl w:val="0"/>
          <w:numId w:val="19"/>
        </w:numPr>
        <w:ind w:left="0" w:hanging="450"/>
        <w:jc w:val="both"/>
        <w:rPr>
          <w:rFonts w:ascii="Calibri" w:eastAsia="Times New Roman" w:hAnsi="Calibri" w:cs="Calibri"/>
          <w:i/>
        </w:rPr>
      </w:pPr>
      <w:r w:rsidRPr="00F23F93">
        <w:rPr>
          <w:rFonts w:ascii="Calibri" w:eastAsia="Calibri" w:hAnsi="Calibri" w:cs="Calibri"/>
          <w:b/>
          <w:i/>
          <w:lang w:val="en-GB"/>
        </w:rPr>
        <w:t>Component 3: Demonstrating the application of technological tools and economic approaches (US$ 4.</w:t>
      </w:r>
      <w:r>
        <w:rPr>
          <w:rFonts w:ascii="Calibri" w:eastAsia="Calibri" w:hAnsi="Calibri" w:cs="Calibri"/>
          <w:b/>
          <w:i/>
          <w:lang w:val="en-GB"/>
        </w:rPr>
        <w:t>5</w:t>
      </w:r>
      <w:r w:rsidRPr="00F23F93">
        <w:rPr>
          <w:rFonts w:ascii="Calibri" w:eastAsia="Calibri" w:hAnsi="Calibri" w:cs="Calibri"/>
          <w:b/>
          <w:i/>
          <w:lang w:val="en-GB"/>
        </w:rPr>
        <w:t xml:space="preserve"> million)</w:t>
      </w:r>
      <w:r w:rsidRPr="00F23F93">
        <w:rPr>
          <w:rFonts w:ascii="Calibri" w:eastAsia="Times New Roman" w:hAnsi="Calibri" w:cs="Calibri"/>
        </w:rPr>
        <w:t xml:space="preserve">. The </w:t>
      </w:r>
      <w:r>
        <w:rPr>
          <w:rFonts w:ascii="Calibri" w:eastAsia="Times New Roman" w:hAnsi="Calibri" w:cs="Calibri"/>
        </w:rPr>
        <w:t>c</w:t>
      </w:r>
      <w:r w:rsidRPr="00F23F93">
        <w:rPr>
          <w:rFonts w:ascii="Calibri" w:eastAsia="Times New Roman" w:hAnsi="Calibri" w:cs="Calibri"/>
        </w:rPr>
        <w:t>omponent will finance specific community-focused cleaner technology demonstration activities in contaminated areas, selected and designed based on environmental health risks and cost</w:t>
      </w:r>
      <w:r>
        <w:rPr>
          <w:rFonts w:ascii="Calibri" w:eastAsia="Times New Roman" w:hAnsi="Calibri" w:cs="Calibri"/>
        </w:rPr>
        <w:t>-</w:t>
      </w:r>
      <w:r w:rsidRPr="00F23F93">
        <w:rPr>
          <w:rFonts w:ascii="Calibri" w:eastAsia="Times New Roman" w:hAnsi="Calibri" w:cs="Calibri"/>
        </w:rPr>
        <w:t xml:space="preserve">effectiveness of interventions. </w:t>
      </w:r>
      <w:r>
        <w:rPr>
          <w:rFonts w:ascii="Calibri" w:eastAsia="Times New Roman" w:hAnsi="Calibri" w:cs="Calibri"/>
        </w:rPr>
        <w:t xml:space="preserve"> The objective is to address technical and methodological challenges to the adoption and deployment of cleaner technologies and practices in complement to activities under component 2, which focuses on challenges and policy incentives to reduce environmental and health pressures. </w:t>
      </w:r>
      <w:r w:rsidRPr="00F23F93">
        <w:rPr>
          <w:rFonts w:ascii="Calibri" w:eastAsia="Times New Roman" w:hAnsi="Calibri" w:cs="Calibri"/>
        </w:rPr>
        <w:t xml:space="preserve"> </w:t>
      </w:r>
    </w:p>
    <w:p w14:paraId="52C2C159" w14:textId="77777777" w:rsidR="00D70D43" w:rsidRDefault="00D70D43" w:rsidP="00D70D43">
      <w:pPr>
        <w:ind w:left="3"/>
        <w:jc w:val="both"/>
        <w:rPr>
          <w:rFonts w:ascii="Calibri" w:eastAsia="Times New Roman" w:hAnsi="Calibri" w:cs="Calibri"/>
          <w:i/>
        </w:rPr>
      </w:pPr>
      <w:r w:rsidRPr="00F23F93">
        <w:rPr>
          <w:rFonts w:ascii="Calibri" w:eastAsia="Times New Roman" w:hAnsi="Calibri" w:cs="Calibri"/>
          <w:i/>
        </w:rPr>
        <w:t>Sub-component 3.1: Mercury management in ASGM</w:t>
      </w:r>
    </w:p>
    <w:p w14:paraId="1480460E" w14:textId="77777777" w:rsidR="00D70D43" w:rsidRPr="009C2FB3" w:rsidRDefault="00D70D43" w:rsidP="002E38A2">
      <w:pPr>
        <w:numPr>
          <w:ilvl w:val="0"/>
          <w:numId w:val="19"/>
        </w:numPr>
        <w:ind w:left="0" w:hanging="450"/>
        <w:jc w:val="both"/>
        <w:rPr>
          <w:rFonts w:ascii="Calibri" w:eastAsia="Times New Roman" w:hAnsi="Calibri" w:cs="Calibri"/>
          <w:i/>
        </w:rPr>
      </w:pPr>
      <w:r w:rsidRPr="00CF54F1">
        <w:rPr>
          <w:rFonts w:ascii="Calibri" w:eastAsia="Times New Roman" w:hAnsi="Calibri" w:cs="Calibri"/>
          <w:i/>
          <w:u w:val="single"/>
        </w:rPr>
        <w:t>Establishment of clean mining demonstration centers:</w:t>
      </w:r>
      <w:r w:rsidRPr="00CF54F1">
        <w:rPr>
          <w:rFonts w:ascii="Calibri" w:eastAsia="Times New Roman" w:hAnsi="Calibri" w:cs="Calibri"/>
        </w:rPr>
        <w:t xml:space="preserve"> The Project will focus on demonstrating best practices in ASGM processes through the establishment of demonstration centers for training and promotion of </w:t>
      </w:r>
      <w:r w:rsidRPr="00CF54F1">
        <w:rPr>
          <w:rFonts w:ascii="Calibri" w:eastAsia="Times New Roman" w:hAnsi="Calibri" w:cs="Calibri"/>
          <w:noProof/>
        </w:rPr>
        <w:t>alternative mercury-free technologies in the ASGM sector.</w:t>
      </w:r>
      <w:r w:rsidRPr="00CF54F1">
        <w:rPr>
          <w:rFonts w:ascii="Calibri" w:eastAsia="Times New Roman" w:hAnsi="Calibri" w:cs="Calibri"/>
        </w:rPr>
        <w:t xml:space="preserve">  Based on the funding envelope available, about ten centers are under consideration.  They are expected, through their best practice dissemination mandate, </w:t>
      </w:r>
      <w:r w:rsidRPr="00CF54F1">
        <w:rPr>
          <w:rFonts w:ascii="Calibri" w:eastAsia="Times New Roman" w:hAnsi="Calibri" w:cs="Calibri"/>
          <w:noProof/>
        </w:rPr>
        <w:t>to contribute to</w:t>
      </w:r>
      <w:r w:rsidRPr="00CF54F1">
        <w:rPr>
          <w:rFonts w:ascii="Calibri" w:eastAsia="Times New Roman" w:hAnsi="Calibri" w:cs="Calibri"/>
        </w:rPr>
        <w:t xml:space="preserve"> not only reducing the amount of mercury to be procured and used but also reducing the </w:t>
      </w:r>
      <w:r w:rsidRPr="00CF54F1">
        <w:rPr>
          <w:rFonts w:ascii="Calibri" w:eastAsia="Times New Roman" w:hAnsi="Calibri" w:cs="Calibri"/>
          <w:noProof/>
        </w:rPr>
        <w:t>amount</w:t>
      </w:r>
      <w:r w:rsidRPr="00CF54F1">
        <w:rPr>
          <w:rFonts w:ascii="Calibri" w:eastAsia="Times New Roman" w:hAnsi="Calibri" w:cs="Calibri"/>
        </w:rPr>
        <w:t xml:space="preserve"> of mercury emissions and wastage.  They are also expected to</w:t>
      </w:r>
      <w:r w:rsidRPr="00CF54F1">
        <w:rPr>
          <w:rFonts w:ascii="Calibri" w:eastAsia="Times New Roman" w:hAnsi="Calibri" w:cs="Calibri"/>
          <w:noProof/>
        </w:rPr>
        <w:t xml:space="preserve"> generate concrete lessons on cleaner technologies cost, impact, and application that can be applied nationally to inform scaled-up deployment of mercury-free technologies in ASGM as well as shared regionally for the same purpose.  The demonstrative investments will be selected in </w:t>
      </w:r>
      <w:r>
        <w:rPr>
          <w:rFonts w:ascii="Calibri" w:eastAsia="Times New Roman" w:hAnsi="Calibri" w:cs="Calibri"/>
          <w:noProof/>
        </w:rPr>
        <w:t>line</w:t>
      </w:r>
      <w:r w:rsidRPr="00CF54F1">
        <w:rPr>
          <w:rFonts w:ascii="Calibri" w:eastAsia="Times New Roman" w:hAnsi="Calibri" w:cs="Calibri"/>
          <w:noProof/>
        </w:rPr>
        <w:t xml:space="preserve"> with the technology roadmaps develped under </w:t>
      </w:r>
      <w:r>
        <w:rPr>
          <w:rFonts w:ascii="Calibri" w:eastAsia="Times New Roman" w:hAnsi="Calibri" w:cs="Calibri"/>
          <w:noProof/>
        </w:rPr>
        <w:t>s</w:t>
      </w:r>
      <w:r w:rsidRPr="00CF54F1">
        <w:rPr>
          <w:rFonts w:ascii="Calibri" w:eastAsia="Times New Roman" w:hAnsi="Calibri" w:cs="Calibri"/>
          <w:noProof/>
        </w:rPr>
        <w:t xml:space="preserve">ub-component 2.1, taking into account considerations such as </w:t>
      </w:r>
      <w:r w:rsidRPr="00CF54F1">
        <w:rPr>
          <w:rFonts w:ascii="Calibri" w:eastAsia="Times New Roman" w:hAnsi="Calibri" w:cs="Calibri"/>
        </w:rPr>
        <w:t>affordability (both in terms of CAPEX but also OPEX), environmental impact (e.g., on land contamination as in the case of retorts),</w:t>
      </w:r>
      <w:r>
        <w:rPr>
          <w:rFonts w:ascii="Calibri" w:eastAsia="Times New Roman" w:hAnsi="Calibri" w:cs="Calibri"/>
        </w:rPr>
        <w:t xml:space="preserve"> </w:t>
      </w:r>
      <w:r w:rsidRPr="00CF54F1">
        <w:rPr>
          <w:rFonts w:ascii="Calibri" w:eastAsia="Times New Roman" w:hAnsi="Calibri" w:cs="Calibri"/>
        </w:rPr>
        <w:t>as well as suitability (types of ore/geology),</w:t>
      </w:r>
      <w:r>
        <w:rPr>
          <w:rFonts w:ascii="Calibri" w:eastAsia="Times New Roman" w:hAnsi="Calibri" w:cs="Calibri"/>
        </w:rPr>
        <w:t xml:space="preserve"> </w:t>
      </w:r>
      <w:r w:rsidRPr="00CF54F1">
        <w:rPr>
          <w:rFonts w:ascii="Calibri" w:eastAsia="Times New Roman" w:hAnsi="Calibri" w:cs="Calibri"/>
        </w:rPr>
        <w:t xml:space="preserve">complexity (including in getting spare parts) and social dimensions (e.g., impact on livelihood and employment opportunities).  Sites and communities for these demonstrative investments will be chosen </w:t>
      </w:r>
      <w:proofErr w:type="gramStart"/>
      <w:r w:rsidRPr="00CF54F1">
        <w:rPr>
          <w:rFonts w:ascii="Calibri" w:eastAsia="Times New Roman" w:hAnsi="Calibri" w:cs="Calibri"/>
        </w:rPr>
        <w:t>so as to</w:t>
      </w:r>
      <w:proofErr w:type="gramEnd"/>
      <w:r w:rsidRPr="00CF54F1">
        <w:rPr>
          <w:rFonts w:ascii="Calibri" w:eastAsia="Times New Roman" w:hAnsi="Calibri" w:cs="Calibri"/>
        </w:rPr>
        <w:t xml:space="preserve"> maximize the learning potential</w:t>
      </w:r>
      <w:r>
        <w:rPr>
          <w:rFonts w:ascii="Calibri" w:eastAsia="Times New Roman" w:hAnsi="Calibri" w:cs="Calibri"/>
        </w:rPr>
        <w:t>.  Site selection</w:t>
      </w:r>
      <w:r w:rsidRPr="00CF54F1">
        <w:rPr>
          <w:rFonts w:ascii="Calibri" w:eastAsia="Times New Roman" w:hAnsi="Calibri" w:cs="Calibri"/>
        </w:rPr>
        <w:t xml:space="preserve"> criteria include: </w:t>
      </w:r>
      <w:r w:rsidRPr="009946A0">
        <w:rPr>
          <w:rFonts w:ascii="Calibri" w:eastAsia="Times New Roman" w:hAnsi="Calibri" w:cs="Calibri"/>
        </w:rPr>
        <w:t>size</w:t>
      </w:r>
      <w:r w:rsidRPr="00CF54F1">
        <w:rPr>
          <w:rFonts w:ascii="Calibri" w:eastAsia="Times New Roman" w:hAnsi="Calibri" w:cs="Calibri"/>
        </w:rPr>
        <w:t xml:space="preserve"> of mining activities (seeking locations with larger number of potential beneficiaries); geology (looking for diverse sites, which together represent the full range of geological conditions for gold mining in Ghana); regional balance (providing a balanced overview of responsiveness to interventions in different cultural contexts); and coordination (taking into account the other cleaner technologies demonstration initiatives on-going in Ghana).  There could be overall 10 sites, spanning the 10 mining regions of Ghana (Western, Western North, Ashanti, Ahafo, Central, Bono, Savannah, North East, Upper East, Upper West).  These sites and beneficiaries will be the prime beneficiaries of the technical assistance envisage under </w:t>
      </w:r>
      <w:r>
        <w:rPr>
          <w:rFonts w:ascii="Calibri" w:eastAsia="Times New Roman" w:hAnsi="Calibri" w:cs="Calibri"/>
        </w:rPr>
        <w:t>s</w:t>
      </w:r>
      <w:r w:rsidRPr="00CF54F1">
        <w:rPr>
          <w:rFonts w:ascii="Calibri" w:eastAsia="Times New Roman" w:hAnsi="Calibri" w:cs="Calibri"/>
        </w:rPr>
        <w:t xml:space="preserve">ub-component 1.1.  </w:t>
      </w:r>
      <w:r w:rsidRPr="00CF54F1">
        <w:rPr>
          <w:rFonts w:ascii="Calibri" w:eastAsia="Times New Roman" w:hAnsi="Calibri" w:cs="Calibri"/>
          <w:bCs/>
        </w:rPr>
        <w:t xml:space="preserve">The demonstration investments will be linked with the </w:t>
      </w:r>
      <w:r w:rsidRPr="00CF54F1">
        <w:rPr>
          <w:rFonts w:ascii="Calibri" w:eastAsia="Times New Roman" w:hAnsi="Calibri" w:cs="Calibri"/>
        </w:rPr>
        <w:t xml:space="preserve">Ghana </w:t>
      </w:r>
      <w:r w:rsidRPr="00CF54F1">
        <w:rPr>
          <w:rFonts w:ascii="Calibri" w:eastAsia="Times New Roman" w:hAnsi="Calibri" w:cs="Calibri"/>
        </w:rPr>
        <w:lastRenderedPageBreak/>
        <w:t xml:space="preserve">Artisanal and Small-Scale Mining Formalization Project (P168002), </w:t>
      </w:r>
      <w:r>
        <w:rPr>
          <w:rFonts w:ascii="Calibri" w:eastAsia="Times New Roman" w:hAnsi="Calibri" w:cs="Calibri"/>
        </w:rPr>
        <w:t xml:space="preserve">in terms of site selection (as mentioned above) and experience sharing.  </w:t>
      </w:r>
    </w:p>
    <w:p w14:paraId="180C4EF2" w14:textId="77777777" w:rsidR="00D70D43" w:rsidRPr="00412155" w:rsidRDefault="00D70D43" w:rsidP="00D70D43">
      <w:pPr>
        <w:jc w:val="both"/>
        <w:rPr>
          <w:rFonts w:ascii="Calibri" w:eastAsia="Times New Roman" w:hAnsi="Calibri" w:cs="Calibri"/>
          <w:i/>
        </w:rPr>
      </w:pPr>
      <w:r w:rsidRPr="009C2FB3">
        <w:rPr>
          <w:rFonts w:ascii="Calibri" w:eastAsia="Times New Roman" w:hAnsi="Calibri" w:cs="Calibri"/>
          <w:i/>
        </w:rPr>
        <w:t>E</w:t>
      </w:r>
      <w:r w:rsidRPr="004A6832">
        <w:rPr>
          <w:rFonts w:ascii="Calibri" w:eastAsia="Times New Roman" w:hAnsi="Calibri" w:cs="Calibri"/>
          <w:i/>
        </w:rPr>
        <w:t>xpected</w:t>
      </w:r>
      <w:r w:rsidRPr="00412155">
        <w:rPr>
          <w:rFonts w:ascii="Calibri" w:eastAsia="Times New Roman" w:hAnsi="Calibri" w:cs="Calibri"/>
          <w:i/>
        </w:rPr>
        <w:t xml:space="preserve"> Results of Sub-component 3.1</w:t>
      </w:r>
    </w:p>
    <w:p w14:paraId="2B3D54CF" w14:textId="77777777" w:rsidR="00D70D43" w:rsidRDefault="00D70D43" w:rsidP="002E38A2">
      <w:pPr>
        <w:pStyle w:val="ListParagraph"/>
        <w:numPr>
          <w:ilvl w:val="0"/>
          <w:numId w:val="13"/>
        </w:numPr>
        <w:ind w:left="720"/>
        <w:jc w:val="both"/>
        <w:rPr>
          <w:rFonts w:ascii="Calibri" w:eastAsia="Times New Roman" w:hAnsi="Calibri" w:cs="Calibri"/>
        </w:rPr>
      </w:pPr>
      <w:r w:rsidRPr="009C2FB3">
        <w:rPr>
          <w:rFonts w:ascii="Calibri" w:eastAsia="Times New Roman" w:hAnsi="Calibri" w:cs="Calibri"/>
        </w:rPr>
        <w:t xml:space="preserve">Mercury abatement techniques </w:t>
      </w:r>
      <w:r>
        <w:rPr>
          <w:rFonts w:ascii="Calibri" w:eastAsia="Times New Roman" w:hAnsi="Calibri" w:cs="Calibri"/>
        </w:rPr>
        <w:t>tested/</w:t>
      </w:r>
      <w:r w:rsidRPr="009C2FB3">
        <w:rPr>
          <w:rFonts w:ascii="Calibri" w:eastAsia="Times New Roman" w:hAnsi="Calibri" w:cs="Calibri"/>
        </w:rPr>
        <w:t>promoted</w:t>
      </w:r>
    </w:p>
    <w:p w14:paraId="61F01790" w14:textId="77777777" w:rsidR="00D70D43" w:rsidRDefault="00D70D43" w:rsidP="00D70D43">
      <w:pPr>
        <w:ind w:left="3"/>
        <w:jc w:val="both"/>
        <w:rPr>
          <w:rFonts w:ascii="Calibri" w:eastAsia="Times New Roman" w:hAnsi="Calibri" w:cs="Calibri"/>
          <w:i/>
        </w:rPr>
      </w:pPr>
      <w:r w:rsidRPr="00B626B0">
        <w:rPr>
          <w:rFonts w:ascii="Calibri" w:eastAsia="Times New Roman" w:hAnsi="Calibri" w:cs="Calibri"/>
          <w:i/>
        </w:rPr>
        <w:t>Sub-component 3.2: e-waste management</w:t>
      </w:r>
    </w:p>
    <w:p w14:paraId="52C4E2A0" w14:textId="77777777" w:rsidR="00D70D43" w:rsidRPr="004B4419" w:rsidRDefault="00D70D43" w:rsidP="002E38A2">
      <w:pPr>
        <w:numPr>
          <w:ilvl w:val="0"/>
          <w:numId w:val="19"/>
        </w:numPr>
        <w:ind w:left="0" w:hanging="450"/>
        <w:jc w:val="both"/>
        <w:rPr>
          <w:rFonts w:ascii="Calibri" w:eastAsia="Times New Roman" w:hAnsi="Calibri" w:cs="Calibri"/>
        </w:rPr>
      </w:pPr>
      <w:r w:rsidRPr="00B626B0">
        <w:rPr>
          <w:rFonts w:ascii="Calibri" w:eastAsia="Times New Roman" w:hAnsi="Calibri" w:cs="Calibri"/>
          <w:i/>
          <w:iCs/>
          <w:u w:val="single"/>
        </w:rPr>
        <w:t>Development of pilot investments and approaches for sustainable e-waste management:</w:t>
      </w:r>
      <w:r w:rsidRPr="00B626B0">
        <w:rPr>
          <w:rFonts w:ascii="Calibri" w:eastAsia="Times New Roman" w:hAnsi="Calibri" w:cs="Calibri"/>
          <w:b/>
          <w:bCs/>
        </w:rPr>
        <w:t xml:space="preserve"> </w:t>
      </w:r>
      <w:r w:rsidRPr="00B626B0">
        <w:rPr>
          <w:rFonts w:ascii="Calibri" w:eastAsia="Times New Roman" w:hAnsi="Calibri" w:cs="Calibri"/>
        </w:rPr>
        <w:t>This sub-component will support the EPA</w:t>
      </w:r>
      <w:r>
        <w:rPr>
          <w:rFonts w:ascii="Calibri" w:eastAsia="Times New Roman" w:hAnsi="Calibri" w:cs="Calibri"/>
        </w:rPr>
        <w:t xml:space="preserve"> / MESTI</w:t>
      </w:r>
      <w:r w:rsidRPr="00B626B0">
        <w:rPr>
          <w:rFonts w:ascii="Calibri" w:eastAsia="Times New Roman" w:hAnsi="Calibri" w:cs="Calibri"/>
        </w:rPr>
        <w:t xml:space="preserve"> in designing and implementing pilot investments and approaches related to </w:t>
      </w:r>
      <w:proofErr w:type="spellStart"/>
      <w:r w:rsidRPr="00B626B0">
        <w:rPr>
          <w:rFonts w:ascii="Calibri" w:eastAsia="Times New Roman" w:hAnsi="Calibri" w:cs="Calibri"/>
        </w:rPr>
        <w:t>Agbo</w:t>
      </w:r>
      <w:r>
        <w:rPr>
          <w:rFonts w:ascii="Calibri" w:eastAsia="Times New Roman" w:hAnsi="Calibri" w:cs="Calibri"/>
        </w:rPr>
        <w:t>g</w:t>
      </w:r>
      <w:r w:rsidRPr="00B626B0">
        <w:rPr>
          <w:rFonts w:ascii="Calibri" w:eastAsia="Times New Roman" w:hAnsi="Calibri" w:cs="Calibri"/>
        </w:rPr>
        <w:t>bloshie</w:t>
      </w:r>
      <w:proofErr w:type="spellEnd"/>
      <w:r w:rsidRPr="00B626B0">
        <w:rPr>
          <w:rFonts w:ascii="Calibri" w:eastAsia="Times New Roman" w:hAnsi="Calibri" w:cs="Calibri"/>
        </w:rPr>
        <w:t xml:space="preserve"> and other e-waste contaminated sites </w:t>
      </w:r>
      <w:r>
        <w:rPr>
          <w:rFonts w:ascii="Calibri" w:eastAsia="Times New Roman" w:hAnsi="Calibri" w:cs="Calibri"/>
        </w:rPr>
        <w:t xml:space="preserve">located outside of the capital, </w:t>
      </w:r>
      <w:r w:rsidRPr="00B626B0">
        <w:rPr>
          <w:rFonts w:ascii="Calibri" w:eastAsia="Times New Roman" w:hAnsi="Calibri" w:cs="Calibri"/>
        </w:rPr>
        <w:t xml:space="preserve">such as Kumasi, Ashaiman, Tamale, Koforidua, </w:t>
      </w:r>
      <w:proofErr w:type="spellStart"/>
      <w:r w:rsidRPr="00B626B0">
        <w:rPr>
          <w:rFonts w:ascii="Calibri" w:eastAsia="Times New Roman" w:hAnsi="Calibri" w:cs="Calibri"/>
        </w:rPr>
        <w:t>Paga</w:t>
      </w:r>
      <w:proofErr w:type="spellEnd"/>
      <w:r w:rsidRPr="00B626B0">
        <w:rPr>
          <w:rFonts w:ascii="Calibri" w:eastAsia="Times New Roman" w:hAnsi="Calibri" w:cs="Calibri"/>
        </w:rPr>
        <w:t xml:space="preserve">, </w:t>
      </w:r>
      <w:proofErr w:type="spellStart"/>
      <w:r w:rsidRPr="00B626B0">
        <w:rPr>
          <w:rFonts w:ascii="Calibri" w:eastAsia="Times New Roman" w:hAnsi="Calibri" w:cs="Calibri"/>
        </w:rPr>
        <w:t>Aflao</w:t>
      </w:r>
      <w:proofErr w:type="spellEnd"/>
      <w:r w:rsidRPr="00B626B0">
        <w:rPr>
          <w:rFonts w:ascii="Calibri" w:eastAsia="Times New Roman" w:hAnsi="Calibri" w:cs="Calibri"/>
        </w:rPr>
        <w:t>, Sunyani, and Techiman</w:t>
      </w:r>
      <w:r>
        <w:rPr>
          <w:rFonts w:ascii="Calibri" w:eastAsia="Times New Roman" w:hAnsi="Calibri" w:cs="Calibri"/>
        </w:rPr>
        <w:t>,</w:t>
      </w:r>
      <w:r w:rsidRPr="00B626B0">
        <w:rPr>
          <w:rFonts w:ascii="Calibri" w:eastAsia="Times New Roman" w:hAnsi="Calibri" w:cs="Calibri"/>
        </w:rPr>
        <w:t xml:space="preserve"> on the implementation of integrated and environmentally-sound management solutions to improve the collection, transportation, and safe disposal/recycling of e-waste, following Article 6 of the Stockholm Convention on wastes, and relevant guidance.  Some of these pilots will also explore the development or strengthening of value chains, to demonstrate solutions for larger private sector engagement in e-waste </w:t>
      </w:r>
      <w:r w:rsidRPr="004B4419">
        <w:rPr>
          <w:rFonts w:ascii="Calibri" w:eastAsia="Times New Roman" w:hAnsi="Calibri" w:cs="Calibri"/>
        </w:rPr>
        <w:t>management.</w:t>
      </w:r>
    </w:p>
    <w:p w14:paraId="663702DE" w14:textId="77777777" w:rsidR="00D70D43" w:rsidRPr="004B4419" w:rsidRDefault="00D70D43" w:rsidP="002E38A2">
      <w:pPr>
        <w:numPr>
          <w:ilvl w:val="0"/>
          <w:numId w:val="19"/>
        </w:numPr>
        <w:tabs>
          <w:tab w:val="left" w:pos="360"/>
        </w:tabs>
        <w:ind w:left="0" w:hanging="450"/>
        <w:jc w:val="both"/>
        <w:rPr>
          <w:rFonts w:ascii="Calibri" w:eastAsia="Times New Roman" w:hAnsi="Calibri" w:cs="Calibri"/>
        </w:rPr>
      </w:pPr>
      <w:r w:rsidRPr="00B626B0">
        <w:rPr>
          <w:rFonts w:ascii="Calibri" w:eastAsia="Times New Roman" w:hAnsi="Calibri" w:cs="Calibri"/>
        </w:rPr>
        <w:t xml:space="preserve">The Project will directly support the Government’s vision for e-waste management (as recently detailed for instance </w:t>
      </w:r>
      <w:r w:rsidRPr="009F5DFD">
        <w:rPr>
          <w:rFonts w:ascii="Calibri" w:eastAsia="Times New Roman" w:hAnsi="Calibri" w:cs="Calibri"/>
        </w:rPr>
        <w:t xml:space="preserve">in EPA’s 2018 </w:t>
      </w:r>
      <w:r w:rsidRPr="00AC4F7F">
        <w:rPr>
          <w:rFonts w:ascii="Calibri" w:eastAsia="Times New Roman" w:hAnsi="Calibri" w:cs="Calibri"/>
          <w:i/>
          <w:iCs/>
        </w:rPr>
        <w:t>National Integrated e-waste Management Scheme</w:t>
      </w:r>
      <w:r w:rsidRPr="00C94245">
        <w:rPr>
          <w:rFonts w:ascii="Calibri" w:eastAsia="Times New Roman" w:hAnsi="Calibri" w:cs="Calibri"/>
        </w:rPr>
        <w:t xml:space="preserve">) with two interventions at different steps of the e-waste management cycle, working, upstream, on formalizing collection, and downstream, on managing safe disposal.  </w:t>
      </w:r>
      <w:r w:rsidRPr="00DF2735">
        <w:rPr>
          <w:rFonts w:ascii="Calibri" w:eastAsia="Times New Roman" w:hAnsi="Calibri" w:cs="Calibri"/>
        </w:rPr>
        <w:t xml:space="preserve">This approach has been adopted for two key reasons: (i) </w:t>
      </w:r>
      <w:r>
        <w:rPr>
          <w:rFonts w:ascii="Calibri" w:eastAsia="Times New Roman" w:hAnsi="Calibri" w:cs="Calibri"/>
        </w:rPr>
        <w:t xml:space="preserve">foremost, the primary objective of this project to prevent mercury and </w:t>
      </w:r>
      <w:proofErr w:type="spellStart"/>
      <w:r>
        <w:rPr>
          <w:rFonts w:ascii="Calibri" w:eastAsia="Times New Roman" w:hAnsi="Calibri" w:cs="Calibri"/>
        </w:rPr>
        <w:t>uPOP</w:t>
      </w:r>
      <w:proofErr w:type="spellEnd"/>
      <w:r>
        <w:rPr>
          <w:rFonts w:ascii="Calibri" w:eastAsia="Times New Roman" w:hAnsi="Calibri" w:cs="Calibri"/>
        </w:rPr>
        <w:t xml:space="preserve"> releases into the environment from current e-waste dismantling practices in the informal sector (i.e. establish EPA-approved collection and dismantling centers) and (ii) to support the formalization of the e-waste sector and the achievement of the national e-waste integrated strategy (i.e. establish buy-back centers to channel e-waste from the informal sector into the formal sector without jeopardizing livelihoods).  The siting of the </w:t>
      </w:r>
      <w:r w:rsidRPr="00EB4F8A">
        <w:rPr>
          <w:rFonts w:ascii="Calibri" w:eastAsia="Times New Roman" w:hAnsi="Calibri" w:cs="Calibri"/>
        </w:rPr>
        <w:t xml:space="preserve">pilot investments on e-waste management </w:t>
      </w:r>
      <w:r>
        <w:rPr>
          <w:rFonts w:ascii="Calibri" w:eastAsia="Times New Roman" w:hAnsi="Calibri" w:cs="Calibri"/>
        </w:rPr>
        <w:t>foreseen under this sub-</w:t>
      </w:r>
      <w:r w:rsidRPr="00EB4F8A">
        <w:rPr>
          <w:rFonts w:ascii="Calibri" w:eastAsia="Times New Roman" w:hAnsi="Calibri" w:cs="Calibri"/>
        </w:rPr>
        <w:t>component s</w:t>
      </w:r>
      <w:r>
        <w:rPr>
          <w:rFonts w:ascii="Calibri" w:eastAsia="Times New Roman" w:hAnsi="Calibri" w:cs="Calibri"/>
        </w:rPr>
        <w:t>h</w:t>
      </w:r>
      <w:r w:rsidRPr="00EB4F8A">
        <w:rPr>
          <w:rFonts w:ascii="Calibri" w:eastAsia="Times New Roman" w:hAnsi="Calibri" w:cs="Calibri"/>
        </w:rPr>
        <w:t xml:space="preserve">all not involve any land acquisition and </w:t>
      </w:r>
      <w:r>
        <w:rPr>
          <w:rFonts w:ascii="Calibri" w:eastAsia="Times New Roman" w:hAnsi="Calibri" w:cs="Calibri"/>
        </w:rPr>
        <w:t>nor</w:t>
      </w:r>
      <w:r w:rsidRPr="00EB4F8A">
        <w:rPr>
          <w:rFonts w:ascii="Calibri" w:eastAsia="Times New Roman" w:hAnsi="Calibri" w:cs="Calibri"/>
        </w:rPr>
        <w:t xml:space="preserve"> result in relocation of individuals and/or economic </w:t>
      </w:r>
      <w:r w:rsidRPr="004B4419">
        <w:rPr>
          <w:rFonts w:ascii="Calibri" w:eastAsia="Times New Roman" w:hAnsi="Calibri" w:cs="Calibri"/>
        </w:rPr>
        <w:t xml:space="preserve">relocation.  </w:t>
      </w:r>
    </w:p>
    <w:p w14:paraId="6775EA51" w14:textId="77777777" w:rsidR="00D70D43" w:rsidRPr="00696889" w:rsidRDefault="00D70D43" w:rsidP="002E38A2">
      <w:pPr>
        <w:numPr>
          <w:ilvl w:val="0"/>
          <w:numId w:val="19"/>
        </w:numPr>
        <w:ind w:left="0" w:hanging="450"/>
        <w:jc w:val="both"/>
        <w:rPr>
          <w:rFonts w:ascii="Calibri" w:eastAsia="Times New Roman" w:hAnsi="Calibri" w:cs="Calibri"/>
        </w:rPr>
      </w:pPr>
      <w:r w:rsidRPr="00C94245">
        <w:rPr>
          <w:rFonts w:ascii="Calibri" w:eastAsia="Times New Roman" w:hAnsi="Calibri" w:cs="Calibri"/>
          <w:i/>
          <w:iCs/>
        </w:rPr>
        <w:t>Establish collectio</w:t>
      </w:r>
      <w:r w:rsidRPr="00284AE6">
        <w:rPr>
          <w:rFonts w:ascii="Calibri" w:eastAsia="Times New Roman" w:hAnsi="Calibri" w:cs="Calibri"/>
          <w:i/>
          <w:iCs/>
        </w:rPr>
        <w:t xml:space="preserve">n </w:t>
      </w:r>
      <w:r w:rsidRPr="007E756A">
        <w:rPr>
          <w:rFonts w:ascii="Calibri" w:eastAsia="Times New Roman" w:hAnsi="Calibri" w:cs="Calibri"/>
          <w:i/>
          <w:iCs/>
        </w:rPr>
        <w:t>and dismantling</w:t>
      </w:r>
      <w:r w:rsidRPr="00C94245">
        <w:rPr>
          <w:rFonts w:ascii="Calibri" w:eastAsia="Times New Roman" w:hAnsi="Calibri" w:cs="Calibri"/>
          <w:i/>
          <w:iCs/>
        </w:rPr>
        <w:t xml:space="preserve"> centers in</w:t>
      </w:r>
      <w:r>
        <w:rPr>
          <w:rFonts w:ascii="Calibri" w:eastAsia="Times New Roman" w:hAnsi="Calibri" w:cs="Calibri"/>
          <w:i/>
          <w:iCs/>
        </w:rPr>
        <w:t xml:space="preserve"> at least </w:t>
      </w:r>
      <w:r w:rsidRPr="00C94245">
        <w:rPr>
          <w:rFonts w:ascii="Calibri" w:eastAsia="Times New Roman" w:hAnsi="Calibri" w:cs="Calibri"/>
          <w:i/>
          <w:iCs/>
        </w:rPr>
        <w:t>5</w:t>
      </w:r>
      <w:r>
        <w:rPr>
          <w:rFonts w:ascii="Calibri" w:eastAsia="Times New Roman" w:hAnsi="Calibri" w:cs="Calibri"/>
          <w:i/>
          <w:iCs/>
        </w:rPr>
        <w:t xml:space="preserve"> to 1</w:t>
      </w:r>
      <w:r w:rsidRPr="007E756A">
        <w:rPr>
          <w:rFonts w:ascii="Calibri" w:eastAsia="Times New Roman" w:hAnsi="Calibri" w:cs="Calibri"/>
          <w:i/>
          <w:iCs/>
        </w:rPr>
        <w:t>0 e-waste hotspots outside of Accra</w:t>
      </w:r>
      <w:r w:rsidRPr="007E756A">
        <w:rPr>
          <w:rFonts w:ascii="Calibri" w:eastAsia="Times New Roman" w:hAnsi="Calibri" w:cs="Calibri"/>
        </w:rPr>
        <w:t xml:space="preserve"> (potential locations include: Kumasi, Tamale, Koforidua, Ashaiman, </w:t>
      </w:r>
      <w:proofErr w:type="spellStart"/>
      <w:r w:rsidRPr="007E756A">
        <w:rPr>
          <w:rFonts w:ascii="Calibri" w:eastAsia="Times New Roman" w:hAnsi="Calibri" w:cs="Calibri"/>
        </w:rPr>
        <w:t>Paga</w:t>
      </w:r>
      <w:proofErr w:type="spellEnd"/>
      <w:r w:rsidRPr="007E756A">
        <w:rPr>
          <w:rFonts w:ascii="Calibri" w:eastAsia="Times New Roman" w:hAnsi="Calibri" w:cs="Calibri"/>
        </w:rPr>
        <w:t xml:space="preserve">, </w:t>
      </w:r>
      <w:proofErr w:type="spellStart"/>
      <w:r w:rsidRPr="007E756A">
        <w:rPr>
          <w:rFonts w:ascii="Calibri" w:eastAsia="Times New Roman" w:hAnsi="Calibri" w:cs="Calibri"/>
        </w:rPr>
        <w:t>Aflao</w:t>
      </w:r>
      <w:proofErr w:type="spellEnd"/>
      <w:r w:rsidRPr="007E756A">
        <w:rPr>
          <w:rFonts w:ascii="Calibri" w:eastAsia="Times New Roman" w:hAnsi="Calibri" w:cs="Calibri"/>
        </w:rPr>
        <w:t xml:space="preserve">, Sunyani, Techiman, etc.).  EPA’s 2018 </w:t>
      </w:r>
      <w:r w:rsidRPr="007E756A">
        <w:rPr>
          <w:rFonts w:ascii="Calibri" w:eastAsia="Times New Roman" w:hAnsi="Calibri" w:cs="Calibri"/>
          <w:i/>
          <w:iCs/>
        </w:rPr>
        <w:t xml:space="preserve">National Integrated </w:t>
      </w:r>
      <w:r>
        <w:rPr>
          <w:rFonts w:ascii="Calibri" w:eastAsia="Times New Roman" w:hAnsi="Calibri" w:cs="Calibri"/>
          <w:i/>
          <w:iCs/>
        </w:rPr>
        <w:t>E</w:t>
      </w:r>
      <w:r w:rsidRPr="007E756A">
        <w:rPr>
          <w:rFonts w:ascii="Calibri" w:eastAsia="Times New Roman" w:hAnsi="Calibri" w:cs="Calibri"/>
          <w:i/>
          <w:iCs/>
        </w:rPr>
        <w:t xml:space="preserve">-waste Management Scheme </w:t>
      </w:r>
      <w:r w:rsidRPr="007E756A">
        <w:rPr>
          <w:rFonts w:ascii="Calibri" w:eastAsia="Times New Roman" w:hAnsi="Calibri" w:cs="Calibri"/>
        </w:rPr>
        <w:t>promotes the establishment of collection centers in every district assembly</w:t>
      </w:r>
      <w:r>
        <w:rPr>
          <w:rFonts w:ascii="Calibri" w:eastAsia="Times New Roman" w:hAnsi="Calibri" w:cs="Calibri"/>
        </w:rPr>
        <w:t>.</w:t>
      </w:r>
      <w:r w:rsidRPr="007E756A">
        <w:rPr>
          <w:rFonts w:ascii="Calibri" w:eastAsia="Times New Roman" w:hAnsi="Calibri" w:cs="Calibri"/>
        </w:rPr>
        <w:t xml:space="preserve"> These collection centers must be permitted by the EPA and should be operated by the private sector and/or scrap dealer associations.  Permitted dismantling centers require additional facilities and </w:t>
      </w:r>
      <w:r w:rsidRPr="004F4D2C">
        <w:rPr>
          <w:rFonts w:ascii="Calibri" w:eastAsia="Times New Roman" w:hAnsi="Calibri" w:cs="Calibri"/>
        </w:rPr>
        <w:t>safe</w:t>
      </w:r>
      <w:r w:rsidRPr="00696889">
        <w:rPr>
          <w:rFonts w:ascii="Calibri" w:eastAsia="Times New Roman" w:hAnsi="Calibri" w:cs="Calibri"/>
        </w:rPr>
        <w:t>gu</w:t>
      </w:r>
      <w:r w:rsidRPr="007C0030">
        <w:rPr>
          <w:rFonts w:ascii="Calibri" w:eastAsia="Times New Roman" w:hAnsi="Calibri" w:cs="Calibri"/>
        </w:rPr>
        <w:t>ard measures for environmentally-sound e-waste dismantling practices than what is currently occurring in the i</w:t>
      </w:r>
      <w:r w:rsidRPr="00C94245">
        <w:rPr>
          <w:rFonts w:ascii="Calibri" w:eastAsia="Times New Roman" w:hAnsi="Calibri" w:cs="Calibri"/>
        </w:rPr>
        <w:t xml:space="preserve">nformal sector.  However, it is understood that the existing scrap dealers do not have the means to improve their operations to a level that can be permitted by the EPA.  Therefore, this component will provide facilities and training to major e-waste hotspots as an immediate solution to reduce the major sources of mercury and </w:t>
      </w:r>
      <w:proofErr w:type="spellStart"/>
      <w:r w:rsidRPr="00C94245">
        <w:rPr>
          <w:rFonts w:ascii="Calibri" w:eastAsia="Times New Roman" w:hAnsi="Calibri" w:cs="Calibri"/>
        </w:rPr>
        <w:t>uPOP</w:t>
      </w:r>
      <w:proofErr w:type="spellEnd"/>
      <w:r w:rsidRPr="00C94245">
        <w:rPr>
          <w:rFonts w:ascii="Calibri" w:eastAsia="Times New Roman" w:hAnsi="Calibri" w:cs="Calibri"/>
        </w:rPr>
        <w:t xml:space="preserve"> pollution into the environment from the e-waste sector.  While much attention is given to </w:t>
      </w:r>
      <w:proofErr w:type="spellStart"/>
      <w:r w:rsidRPr="00C94245">
        <w:rPr>
          <w:rFonts w:ascii="Calibri" w:eastAsia="Times New Roman" w:hAnsi="Calibri" w:cs="Calibri"/>
        </w:rPr>
        <w:t>Agbogbloshie</w:t>
      </w:r>
      <w:proofErr w:type="spellEnd"/>
      <w:r w:rsidRPr="00C94245">
        <w:rPr>
          <w:rFonts w:ascii="Calibri" w:eastAsia="Times New Roman" w:hAnsi="Calibri" w:cs="Calibri"/>
        </w:rPr>
        <w:t xml:space="preserve"> as a major e-waste hotspot in Accra, several other hotspots exist in the country, such as Kumasi, </w:t>
      </w:r>
      <w:proofErr w:type="spellStart"/>
      <w:r w:rsidRPr="00C94245">
        <w:rPr>
          <w:rFonts w:ascii="Calibri" w:eastAsia="Times New Roman" w:hAnsi="Calibri" w:cs="Calibri"/>
        </w:rPr>
        <w:t>Koforidura</w:t>
      </w:r>
      <w:proofErr w:type="spellEnd"/>
      <w:r w:rsidRPr="00C94245">
        <w:rPr>
          <w:rFonts w:ascii="Calibri" w:eastAsia="Times New Roman" w:hAnsi="Calibri" w:cs="Calibri"/>
        </w:rPr>
        <w:t xml:space="preserve">, Ashaiman, and Tamale, among others. Further, </w:t>
      </w:r>
      <w:proofErr w:type="spellStart"/>
      <w:r w:rsidRPr="00C94245">
        <w:rPr>
          <w:rFonts w:ascii="Calibri" w:eastAsia="Times New Roman" w:hAnsi="Calibri" w:cs="Calibri"/>
        </w:rPr>
        <w:t>Paga</w:t>
      </w:r>
      <w:proofErr w:type="spellEnd"/>
      <w:r w:rsidRPr="00C94245">
        <w:rPr>
          <w:rFonts w:ascii="Calibri" w:eastAsia="Times New Roman" w:hAnsi="Calibri" w:cs="Calibri"/>
        </w:rPr>
        <w:t xml:space="preserve">, </w:t>
      </w:r>
      <w:proofErr w:type="spellStart"/>
      <w:r w:rsidRPr="00C94245">
        <w:rPr>
          <w:rFonts w:ascii="Calibri" w:eastAsia="Times New Roman" w:hAnsi="Calibri" w:cs="Calibri"/>
        </w:rPr>
        <w:t>Aflao</w:t>
      </w:r>
      <w:proofErr w:type="spellEnd"/>
      <w:r w:rsidRPr="00C94245">
        <w:rPr>
          <w:rFonts w:ascii="Calibri" w:eastAsia="Times New Roman" w:hAnsi="Calibri" w:cs="Calibri"/>
        </w:rPr>
        <w:t xml:space="preserve">, Sunyani and Techiman are major inter-regional trading routes where much e-waste is moved from surrounding countries into Ghana, which has a more advanced scrap materials industry.  </w:t>
      </w:r>
      <w:proofErr w:type="gramStart"/>
      <w:r w:rsidRPr="00C94245">
        <w:rPr>
          <w:rFonts w:ascii="Calibri" w:eastAsia="Times New Roman" w:hAnsi="Calibri" w:cs="Calibri"/>
        </w:rPr>
        <w:t>These collection</w:t>
      </w:r>
      <w:proofErr w:type="gramEnd"/>
      <w:r w:rsidRPr="00C94245">
        <w:rPr>
          <w:rFonts w:ascii="Calibri" w:eastAsia="Times New Roman" w:hAnsi="Calibri" w:cs="Calibri"/>
        </w:rPr>
        <w:t xml:space="preserve"> </w:t>
      </w:r>
      <w:r w:rsidRPr="007E756A">
        <w:rPr>
          <w:rFonts w:ascii="Calibri" w:eastAsia="Times New Roman" w:hAnsi="Calibri" w:cs="Calibri"/>
        </w:rPr>
        <w:t>and dismantling</w:t>
      </w:r>
      <w:r w:rsidRPr="00C94245">
        <w:rPr>
          <w:rFonts w:ascii="Calibri" w:eastAsia="Times New Roman" w:hAnsi="Calibri" w:cs="Calibri"/>
        </w:rPr>
        <w:t xml:space="preserve"> </w:t>
      </w:r>
      <w:proofErr w:type="spellStart"/>
      <w:r w:rsidRPr="00C94245">
        <w:rPr>
          <w:rFonts w:ascii="Calibri" w:eastAsia="Times New Roman" w:hAnsi="Calibri" w:cs="Calibri"/>
        </w:rPr>
        <w:t>centres</w:t>
      </w:r>
      <w:proofErr w:type="spellEnd"/>
      <w:r w:rsidRPr="00C94245">
        <w:rPr>
          <w:rFonts w:ascii="Calibri" w:eastAsia="Times New Roman" w:hAnsi="Calibri" w:cs="Calibri"/>
        </w:rPr>
        <w:t xml:space="preserve"> would be built according to EPA requirements as detailed in L.I. 2250 </w:t>
      </w:r>
      <w:r w:rsidRPr="00C94245">
        <w:rPr>
          <w:rFonts w:ascii="Calibri" w:eastAsia="Times New Roman" w:hAnsi="Calibri" w:cs="Calibri"/>
        </w:rPr>
        <w:lastRenderedPageBreak/>
        <w:t>(water</w:t>
      </w:r>
      <w:r w:rsidRPr="007E756A">
        <w:rPr>
          <w:rFonts w:ascii="Calibri" w:eastAsia="Times New Roman" w:hAnsi="Calibri" w:cs="Calibri"/>
        </w:rPr>
        <w:t>proofed facility, access to sanitary facilities, secured site) and following the design promoted by EPA (i.e., modular assemblage of 40-foot shipping containers).  There are value-addition activities that could be integrated into the operations of a collection center, which would then require additional EPA permitting as a dismantling center.  Activities such as removing plastics casing, degassing refrigerators, compressing metals to increase bulk density to increase economic efficiency of transport have varying degrees of complexity but can be readily trained to low-skilled workers provided oversight by a higher-skilled supervisor.  Continued capacity building may be required to ensure efficiency of operations and maintenance of the investment.  This investment is particularly relevant as EPA’s vision for e-waste management anticipates collection centers operating in every district assembly (i.e., 276 centers nation-wide) while currently, no known plan exists to fund and/or deploy these centers.  In practice</w:t>
      </w:r>
      <w:r w:rsidRPr="004F4D2C">
        <w:rPr>
          <w:rFonts w:ascii="Calibri" w:eastAsia="Times New Roman" w:hAnsi="Calibri" w:cs="Calibri"/>
        </w:rPr>
        <w:t xml:space="preserve">, sites will be </w:t>
      </w:r>
      <w:r w:rsidRPr="00C94245">
        <w:rPr>
          <w:rFonts w:ascii="Calibri" w:eastAsia="Times New Roman" w:hAnsi="Calibri" w:cs="Calibri"/>
        </w:rPr>
        <w:t xml:space="preserve">chosen targeting the largest pollution centers.  Technical assistance would then be deployed to alert and assist interested private operators and scrap dealers (including scrap dealers associations) to prepare their proposals for the operation of the collection centers.  The centers would be leased, for a term (e.g., 5 </w:t>
      </w:r>
      <w:proofErr w:type="spellStart"/>
      <w:r w:rsidRPr="00C94245">
        <w:rPr>
          <w:rFonts w:ascii="Calibri" w:eastAsia="Times New Roman" w:hAnsi="Calibri" w:cs="Calibri"/>
        </w:rPr>
        <w:t>yrs</w:t>
      </w:r>
      <w:proofErr w:type="spellEnd"/>
      <w:r w:rsidRPr="00C94245">
        <w:rPr>
          <w:rFonts w:ascii="Calibri" w:eastAsia="Times New Roman" w:hAnsi="Calibri" w:cs="Calibri"/>
        </w:rPr>
        <w:t xml:space="preserve">), to the applicants with the best proposals (e.g., reflecting experience, financial backing, job creation potential, vision).  Construction would commence with handover to local assemblies and lease to selected operators.  </w:t>
      </w:r>
    </w:p>
    <w:p w14:paraId="31AB264E" w14:textId="77777777" w:rsidR="00D70D43" w:rsidRDefault="00D70D43" w:rsidP="002E38A2">
      <w:pPr>
        <w:numPr>
          <w:ilvl w:val="0"/>
          <w:numId w:val="19"/>
        </w:numPr>
        <w:ind w:left="0" w:hanging="450"/>
        <w:jc w:val="both"/>
        <w:rPr>
          <w:rFonts w:ascii="Calibri" w:eastAsia="Times New Roman" w:hAnsi="Calibri" w:cs="Calibri"/>
        </w:rPr>
      </w:pPr>
      <w:r w:rsidRPr="00E97A56">
        <w:rPr>
          <w:rFonts w:ascii="Calibri" w:eastAsia="Times New Roman" w:hAnsi="Calibri" w:cs="Calibri"/>
          <w:i/>
          <w:iCs/>
        </w:rPr>
        <w:t xml:space="preserve">Build </w:t>
      </w:r>
      <w:r>
        <w:rPr>
          <w:rFonts w:ascii="Calibri" w:eastAsia="Times New Roman" w:hAnsi="Calibri" w:cs="Calibri"/>
          <w:i/>
          <w:iCs/>
        </w:rPr>
        <w:t xml:space="preserve">at least </w:t>
      </w:r>
      <w:r w:rsidRPr="00E97A56">
        <w:rPr>
          <w:rFonts w:ascii="Calibri" w:eastAsia="Times New Roman" w:hAnsi="Calibri" w:cs="Calibri"/>
          <w:i/>
          <w:iCs/>
        </w:rPr>
        <w:t>1</w:t>
      </w:r>
      <w:r>
        <w:rPr>
          <w:rFonts w:ascii="Calibri" w:eastAsia="Times New Roman" w:hAnsi="Calibri" w:cs="Calibri"/>
          <w:i/>
          <w:iCs/>
        </w:rPr>
        <w:t xml:space="preserve"> and up-to </w:t>
      </w:r>
      <w:r w:rsidRPr="00E97A56">
        <w:rPr>
          <w:rFonts w:ascii="Calibri" w:eastAsia="Times New Roman" w:hAnsi="Calibri" w:cs="Calibri"/>
        </w:rPr>
        <w:t xml:space="preserve">2 </w:t>
      </w:r>
      <w:r w:rsidRPr="009946A0">
        <w:rPr>
          <w:rFonts w:ascii="Calibri" w:eastAsia="Times New Roman" w:hAnsi="Calibri" w:cs="Calibri"/>
          <w:i/>
        </w:rPr>
        <w:t xml:space="preserve">National </w:t>
      </w:r>
      <w:r>
        <w:rPr>
          <w:rFonts w:ascii="Calibri" w:eastAsia="Times New Roman" w:hAnsi="Calibri" w:cs="Calibri"/>
          <w:i/>
        </w:rPr>
        <w:t>Buy-back/</w:t>
      </w:r>
      <w:r w:rsidRPr="009946A0">
        <w:rPr>
          <w:rFonts w:ascii="Calibri" w:eastAsia="Times New Roman" w:hAnsi="Calibri" w:cs="Calibri"/>
          <w:i/>
        </w:rPr>
        <w:t>Holding Cent</w:t>
      </w:r>
      <w:r w:rsidRPr="00E97A56">
        <w:rPr>
          <w:rFonts w:ascii="Calibri" w:eastAsia="Times New Roman" w:hAnsi="Calibri" w:cs="Calibri"/>
          <w:i/>
        </w:rPr>
        <w:t>er</w:t>
      </w:r>
      <w:r w:rsidRPr="009946A0">
        <w:rPr>
          <w:rFonts w:ascii="Calibri" w:eastAsia="Times New Roman" w:hAnsi="Calibri" w:cs="Calibri"/>
          <w:i/>
        </w:rPr>
        <w:t>s</w:t>
      </w:r>
      <w:r>
        <w:rPr>
          <w:rFonts w:ascii="Calibri" w:eastAsia="Times New Roman" w:hAnsi="Calibri" w:cs="Calibri"/>
        </w:rPr>
        <w:t xml:space="preserve"> </w:t>
      </w:r>
      <w:r w:rsidRPr="007E756A">
        <w:rPr>
          <w:rFonts w:ascii="Calibri" w:eastAsia="Times New Roman" w:hAnsi="Calibri" w:cs="Calibri"/>
        </w:rPr>
        <w:t>to facilitate the recovery of e-waste and move the hazardous material out of the informal sector into the formal sector where recycling activities can be monitored for best environmental practices. </w:t>
      </w:r>
      <w:r>
        <w:rPr>
          <w:rFonts w:ascii="Calibri" w:eastAsia="Times New Roman" w:hAnsi="Calibri" w:cs="Calibri"/>
        </w:rPr>
        <w:t xml:space="preserve">The </w:t>
      </w:r>
      <w:r w:rsidRPr="009946A0">
        <w:rPr>
          <w:rFonts w:ascii="Calibri" w:eastAsia="Times New Roman" w:hAnsi="Calibri" w:cs="Calibri"/>
          <w:i/>
        </w:rPr>
        <w:t xml:space="preserve">National Integrated E-waste </w:t>
      </w:r>
      <w:r>
        <w:rPr>
          <w:rFonts w:ascii="Calibri" w:eastAsia="Times New Roman" w:hAnsi="Calibri" w:cs="Calibri"/>
          <w:i/>
        </w:rPr>
        <w:t xml:space="preserve">Management </w:t>
      </w:r>
      <w:r w:rsidRPr="009946A0">
        <w:rPr>
          <w:rFonts w:ascii="Calibri" w:eastAsia="Times New Roman" w:hAnsi="Calibri" w:cs="Calibri"/>
          <w:i/>
        </w:rPr>
        <w:t>Scheme</w:t>
      </w:r>
      <w:r>
        <w:rPr>
          <w:rFonts w:ascii="Calibri" w:eastAsia="Times New Roman" w:hAnsi="Calibri" w:cs="Calibri"/>
        </w:rPr>
        <w:t xml:space="preserve"> envisions a central Buy-Back/Holding Centre in all regions of Ghana (i.e. 1), which </w:t>
      </w:r>
      <w:r w:rsidRPr="007E756A">
        <w:rPr>
          <w:rFonts w:ascii="Calibri" w:eastAsia="Times New Roman" w:hAnsi="Calibri" w:cs="Calibri"/>
        </w:rPr>
        <w:t>will have access to funds accrued by the Advanced Eco-levy (Act 917, 2016) for the purchasing of e-waste from collectors</w:t>
      </w:r>
      <w:r w:rsidRPr="00E97A56">
        <w:rPr>
          <w:rFonts w:ascii="Calibri" w:eastAsia="Times New Roman" w:hAnsi="Calibri" w:cs="Calibri"/>
          <w:i/>
        </w:rPr>
        <w:t xml:space="preserve"> </w:t>
      </w:r>
      <w:r w:rsidRPr="00E97A56">
        <w:rPr>
          <w:rFonts w:ascii="Calibri" w:eastAsia="Times New Roman" w:hAnsi="Calibri" w:cs="Calibri"/>
        </w:rPr>
        <w:t xml:space="preserve">to concentrate e-waste streams from dispersed collection </w:t>
      </w:r>
      <w:r w:rsidRPr="006E346A">
        <w:rPr>
          <w:rFonts w:ascii="Calibri" w:eastAsia="Times New Roman" w:hAnsi="Calibri" w:cs="Calibri"/>
        </w:rPr>
        <w:t>centers and certified collectors and ensure a supply of certified e-waste material for the recycling industry</w:t>
      </w:r>
      <w:r w:rsidRPr="00E97A56">
        <w:rPr>
          <w:rFonts w:ascii="Calibri" w:eastAsia="Times New Roman" w:hAnsi="Calibri" w:cs="Calibri"/>
        </w:rPr>
        <w:t>. These ce</w:t>
      </w:r>
      <w:r w:rsidRPr="009946A0">
        <w:rPr>
          <w:rFonts w:ascii="Calibri" w:eastAsia="Times New Roman" w:hAnsi="Calibri" w:cs="Calibri"/>
        </w:rPr>
        <w:t>nters would in</w:t>
      </w:r>
      <w:r w:rsidRPr="00E97A56">
        <w:rPr>
          <w:rFonts w:ascii="Calibri" w:eastAsia="Times New Roman" w:hAnsi="Calibri" w:cs="Calibri"/>
        </w:rPr>
        <w:t>clude storage space for raw e-waste or dismantled e-waste and possibly sites for dismantling and other e-waste transformation.  Possible sites</w:t>
      </w:r>
      <w:r w:rsidRPr="009946A0">
        <w:rPr>
          <w:rFonts w:ascii="Calibri" w:eastAsia="Times New Roman" w:hAnsi="Calibri" w:cs="Calibri"/>
        </w:rPr>
        <w:t xml:space="preserve"> include largest pollution centers</w:t>
      </w:r>
      <w:r w:rsidRPr="00E97A56">
        <w:rPr>
          <w:rFonts w:ascii="Calibri" w:eastAsia="Times New Roman" w:hAnsi="Calibri" w:cs="Calibri"/>
        </w:rPr>
        <w:t>: Kumasi, Koforidua/Tamale</w:t>
      </w:r>
      <w:r w:rsidRPr="009946A0">
        <w:rPr>
          <w:rFonts w:ascii="Calibri" w:eastAsia="Times New Roman" w:hAnsi="Calibri" w:cs="Calibri"/>
        </w:rPr>
        <w:t>.</w:t>
      </w:r>
      <w:r w:rsidRPr="00E97A56">
        <w:rPr>
          <w:rFonts w:ascii="Calibri" w:eastAsia="Times New Roman" w:hAnsi="Calibri" w:cs="Calibri"/>
        </w:rPr>
        <w:t xml:space="preserve">  These centers would be owned by Local Assemblies and operated by a 3</w:t>
      </w:r>
      <w:r w:rsidRPr="009946A0">
        <w:rPr>
          <w:rFonts w:ascii="Calibri" w:eastAsia="Times New Roman" w:hAnsi="Calibri" w:cs="Calibri"/>
          <w:vertAlign w:val="superscript"/>
        </w:rPr>
        <w:t>rd</w:t>
      </w:r>
      <w:r w:rsidRPr="00E97A56">
        <w:rPr>
          <w:rFonts w:ascii="Calibri" w:eastAsia="Times New Roman" w:hAnsi="Calibri" w:cs="Calibri"/>
        </w:rPr>
        <w:t xml:space="preserve"> party, selected through competitive bidding.  </w:t>
      </w:r>
      <w:r>
        <w:rPr>
          <w:rFonts w:ascii="Calibri" w:eastAsia="Times New Roman" w:hAnsi="Calibri" w:cs="Calibri"/>
        </w:rPr>
        <w:t>Financing made available from</w:t>
      </w:r>
      <w:r w:rsidRPr="006E346A">
        <w:rPr>
          <w:rFonts w:ascii="Calibri" w:eastAsia="Times New Roman" w:hAnsi="Calibri" w:cs="Calibri"/>
        </w:rPr>
        <w:t xml:space="preserve"> the </w:t>
      </w:r>
      <w:r>
        <w:rPr>
          <w:rFonts w:ascii="Calibri" w:eastAsia="Times New Roman" w:hAnsi="Calibri" w:cs="Calibri"/>
        </w:rPr>
        <w:t>E</w:t>
      </w:r>
      <w:r w:rsidRPr="006E346A">
        <w:rPr>
          <w:rFonts w:ascii="Calibri" w:eastAsia="Times New Roman" w:hAnsi="Calibri" w:cs="Calibri"/>
        </w:rPr>
        <w:t>-</w:t>
      </w:r>
      <w:r>
        <w:rPr>
          <w:rFonts w:ascii="Calibri" w:eastAsia="Times New Roman" w:hAnsi="Calibri" w:cs="Calibri"/>
        </w:rPr>
        <w:t xml:space="preserve">waste </w:t>
      </w:r>
      <w:r w:rsidRPr="006E346A">
        <w:rPr>
          <w:rFonts w:ascii="Calibri" w:eastAsia="Times New Roman" w:hAnsi="Calibri" w:cs="Calibri"/>
        </w:rPr>
        <w:t>Fund</w:t>
      </w:r>
      <w:r>
        <w:rPr>
          <w:rFonts w:ascii="Calibri" w:eastAsia="Times New Roman" w:hAnsi="Calibri" w:cs="Calibri"/>
        </w:rPr>
        <w:t>/Advanced Eco-levy</w:t>
      </w:r>
      <w:r w:rsidRPr="006E346A">
        <w:rPr>
          <w:rFonts w:ascii="Calibri" w:eastAsia="Times New Roman" w:hAnsi="Calibri" w:cs="Calibri"/>
        </w:rPr>
        <w:t xml:space="preserve"> would support their operations.  Design (e.g., </w:t>
      </w:r>
      <w:r w:rsidRPr="00E97A56">
        <w:rPr>
          <w:rFonts w:ascii="Calibri" w:eastAsia="Times New Roman" w:hAnsi="Calibri" w:cs="Calibri"/>
        </w:rPr>
        <w:t>technical specifications) and operation (</w:t>
      </w:r>
      <w:r>
        <w:rPr>
          <w:rFonts w:ascii="Calibri" w:eastAsia="Times New Roman" w:hAnsi="Calibri" w:cs="Calibri"/>
        </w:rPr>
        <w:t xml:space="preserve">e.g., </w:t>
      </w:r>
      <w:r w:rsidRPr="00E97A56">
        <w:rPr>
          <w:rFonts w:ascii="Calibri" w:eastAsia="Times New Roman" w:hAnsi="Calibri" w:cs="Calibri"/>
        </w:rPr>
        <w:t xml:space="preserve">operations contract) </w:t>
      </w:r>
      <w:r>
        <w:rPr>
          <w:rFonts w:ascii="Calibri" w:eastAsia="Times New Roman" w:hAnsi="Calibri" w:cs="Calibri"/>
        </w:rPr>
        <w:t xml:space="preserve">would be informed by lessons learned from GIZ and </w:t>
      </w:r>
      <w:proofErr w:type="spellStart"/>
      <w:r>
        <w:rPr>
          <w:rFonts w:ascii="Calibri" w:eastAsia="Times New Roman" w:hAnsi="Calibri" w:cs="Calibri"/>
        </w:rPr>
        <w:t>KfW</w:t>
      </w:r>
      <w:proofErr w:type="spellEnd"/>
      <w:r>
        <w:rPr>
          <w:rFonts w:ascii="Calibri" w:eastAsia="Times New Roman" w:hAnsi="Calibri" w:cs="Calibri"/>
        </w:rPr>
        <w:t xml:space="preserve"> work (which should be completed by </w:t>
      </w:r>
      <w:proofErr w:type="spellStart"/>
      <w:r>
        <w:rPr>
          <w:rFonts w:ascii="Calibri" w:eastAsia="Times New Roman" w:hAnsi="Calibri" w:cs="Calibri"/>
        </w:rPr>
        <w:t>mid 2021</w:t>
      </w:r>
      <w:proofErr w:type="spellEnd"/>
      <w:r>
        <w:rPr>
          <w:rFonts w:ascii="Calibri" w:eastAsia="Times New Roman" w:hAnsi="Calibri" w:cs="Calibri"/>
        </w:rPr>
        <w:t xml:space="preserve">).  The centers would be established on land made available by the Local Assemblies.  No economic displacement is expected.  </w:t>
      </w:r>
    </w:p>
    <w:p w14:paraId="0DE94200" w14:textId="77777777" w:rsidR="00D70D43" w:rsidRPr="00920A97" w:rsidRDefault="00D70D43" w:rsidP="00D70D43">
      <w:pPr>
        <w:pStyle w:val="ListParagraph"/>
        <w:ind w:left="3"/>
        <w:jc w:val="both"/>
        <w:rPr>
          <w:rFonts w:ascii="Calibri" w:eastAsia="Times New Roman" w:hAnsi="Calibri" w:cs="Calibri"/>
          <w:i/>
        </w:rPr>
      </w:pPr>
      <w:r w:rsidRPr="00920A97">
        <w:rPr>
          <w:rFonts w:ascii="Calibri" w:eastAsia="Times New Roman" w:hAnsi="Calibri" w:cs="Calibri"/>
          <w:i/>
        </w:rPr>
        <w:t xml:space="preserve">Expected Results of Sub-component </w:t>
      </w:r>
      <w:r>
        <w:rPr>
          <w:rFonts w:ascii="Calibri" w:eastAsia="Times New Roman" w:hAnsi="Calibri" w:cs="Calibri"/>
          <w:i/>
        </w:rPr>
        <w:t>3</w:t>
      </w:r>
      <w:r w:rsidRPr="00920A97">
        <w:rPr>
          <w:rFonts w:ascii="Calibri" w:eastAsia="Times New Roman" w:hAnsi="Calibri" w:cs="Calibri"/>
          <w:i/>
        </w:rPr>
        <w:t>.</w:t>
      </w:r>
      <w:r>
        <w:rPr>
          <w:rFonts w:ascii="Calibri" w:eastAsia="Times New Roman" w:hAnsi="Calibri" w:cs="Calibri"/>
          <w:i/>
        </w:rPr>
        <w:t>2</w:t>
      </w:r>
    </w:p>
    <w:p w14:paraId="4895AE4D" w14:textId="77777777" w:rsidR="00D70D43" w:rsidRDefault="00D70D43" w:rsidP="002E38A2">
      <w:pPr>
        <w:pStyle w:val="ListParagraph"/>
        <w:numPr>
          <w:ilvl w:val="0"/>
          <w:numId w:val="13"/>
        </w:numPr>
        <w:ind w:left="720"/>
        <w:jc w:val="both"/>
        <w:rPr>
          <w:rFonts w:ascii="Calibri" w:eastAsia="Times New Roman" w:hAnsi="Calibri" w:cs="Calibri"/>
        </w:rPr>
      </w:pPr>
      <w:r>
        <w:rPr>
          <w:rFonts w:ascii="Calibri" w:eastAsia="Times New Roman" w:hAnsi="Calibri" w:cs="Calibri"/>
        </w:rPr>
        <w:t>Private stakeholders engaged in formalization of e-waste management</w:t>
      </w:r>
    </w:p>
    <w:p w14:paraId="314C9192" w14:textId="77777777" w:rsidR="00D70D43" w:rsidRDefault="00D70D43" w:rsidP="002E38A2">
      <w:pPr>
        <w:pStyle w:val="ListParagraph"/>
        <w:numPr>
          <w:ilvl w:val="0"/>
          <w:numId w:val="13"/>
        </w:numPr>
        <w:ind w:left="720"/>
        <w:jc w:val="both"/>
        <w:rPr>
          <w:rFonts w:ascii="Calibri" w:eastAsia="Times New Roman" w:hAnsi="Calibri" w:cs="Calibri"/>
        </w:rPr>
      </w:pPr>
      <w:r>
        <w:rPr>
          <w:rFonts w:ascii="Calibri" w:eastAsia="Times New Roman" w:hAnsi="Calibri" w:cs="Calibri"/>
        </w:rPr>
        <w:t xml:space="preserve">Immediate reduction in mercury and </w:t>
      </w:r>
      <w:proofErr w:type="spellStart"/>
      <w:r>
        <w:rPr>
          <w:rFonts w:ascii="Calibri" w:eastAsia="Times New Roman" w:hAnsi="Calibri" w:cs="Calibri"/>
        </w:rPr>
        <w:t>uPOP</w:t>
      </w:r>
      <w:proofErr w:type="spellEnd"/>
      <w:r>
        <w:rPr>
          <w:rFonts w:ascii="Calibri" w:eastAsia="Times New Roman" w:hAnsi="Calibri" w:cs="Calibri"/>
        </w:rPr>
        <w:t xml:space="preserve"> releases into the environment from e-waste processing activities in the informal sector</w:t>
      </w:r>
    </w:p>
    <w:p w14:paraId="61796075" w14:textId="77777777" w:rsidR="00D70D43" w:rsidRDefault="00D70D43" w:rsidP="002E38A2">
      <w:pPr>
        <w:pStyle w:val="ListParagraph"/>
        <w:numPr>
          <w:ilvl w:val="0"/>
          <w:numId w:val="13"/>
        </w:numPr>
        <w:ind w:left="720"/>
        <w:jc w:val="both"/>
        <w:rPr>
          <w:rFonts w:ascii="Calibri" w:eastAsia="Times New Roman" w:hAnsi="Calibri" w:cs="Calibri"/>
        </w:rPr>
      </w:pPr>
      <w:r>
        <w:rPr>
          <w:rFonts w:ascii="Calibri" w:eastAsia="Times New Roman" w:hAnsi="Calibri" w:cs="Calibri"/>
        </w:rPr>
        <w:t>Strengthening the bridge between the current informal practices and the national strategy for environmentally sound management of e-waste</w:t>
      </w:r>
    </w:p>
    <w:p w14:paraId="08766138" w14:textId="77777777" w:rsidR="00D70D43" w:rsidRPr="00633434" w:rsidRDefault="00D70D43" w:rsidP="00D70D43">
      <w:pPr>
        <w:ind w:left="3"/>
        <w:jc w:val="both"/>
        <w:rPr>
          <w:rFonts w:ascii="Calibri" w:eastAsia="Times New Roman" w:hAnsi="Calibri" w:cs="Calibri"/>
        </w:rPr>
      </w:pPr>
    </w:p>
    <w:p w14:paraId="407C465C" w14:textId="77777777" w:rsidR="00D70D43" w:rsidRDefault="00D70D43" w:rsidP="002E38A2">
      <w:pPr>
        <w:numPr>
          <w:ilvl w:val="0"/>
          <w:numId w:val="19"/>
        </w:numPr>
        <w:ind w:left="0" w:hanging="450"/>
        <w:jc w:val="both"/>
        <w:rPr>
          <w:rFonts w:ascii="Calibri" w:eastAsia="Times New Roman" w:hAnsi="Calibri" w:cs="Calibri"/>
        </w:rPr>
      </w:pPr>
      <w:r w:rsidRPr="00181AC6">
        <w:rPr>
          <w:rFonts w:ascii="Calibri" w:eastAsia="Calibri" w:hAnsi="Calibri" w:cs="Calibri"/>
          <w:b/>
          <w:i/>
          <w:lang w:val="en-GB"/>
        </w:rPr>
        <w:t>Component 4: Project management (US$ 415,028)</w:t>
      </w:r>
      <w:bookmarkStart w:id="23" w:name="_Hlk10109034"/>
      <w:bookmarkEnd w:id="23"/>
      <w:r>
        <w:rPr>
          <w:rFonts w:ascii="Calibri" w:eastAsia="Times New Roman" w:hAnsi="Calibri" w:cs="Calibri"/>
        </w:rPr>
        <w:t xml:space="preserve">. </w:t>
      </w:r>
      <w:r w:rsidRPr="00181AC6">
        <w:rPr>
          <w:rFonts w:ascii="Calibri" w:eastAsia="Times New Roman" w:hAnsi="Calibri" w:cs="Calibri"/>
        </w:rPr>
        <w:t xml:space="preserve">This component will cover the cost for project management, implementation and supervision of project activities, administration of procurement and </w:t>
      </w:r>
      <w:r w:rsidRPr="00181AC6">
        <w:rPr>
          <w:rFonts w:ascii="Calibri" w:eastAsia="Times New Roman" w:hAnsi="Calibri" w:cs="Calibri"/>
        </w:rPr>
        <w:lastRenderedPageBreak/>
        <w:t xml:space="preserve">financial management, monitoring and evaluation, and monitoring of safeguards compliance. The component will cover </w:t>
      </w:r>
      <w:proofErr w:type="gramStart"/>
      <w:r w:rsidRPr="00181AC6">
        <w:rPr>
          <w:rFonts w:ascii="Calibri" w:eastAsia="Times New Roman" w:hAnsi="Calibri" w:cs="Calibri"/>
        </w:rPr>
        <w:t>in particular the</w:t>
      </w:r>
      <w:proofErr w:type="gramEnd"/>
      <w:r w:rsidRPr="00181AC6">
        <w:rPr>
          <w:rFonts w:ascii="Calibri" w:eastAsia="Times New Roman" w:hAnsi="Calibri" w:cs="Calibri"/>
        </w:rPr>
        <w:t xml:space="preserve"> cost of the Project Implementation Units (PIU) within the EPA.  </w:t>
      </w:r>
    </w:p>
    <w:p w14:paraId="7AA406EB" w14:textId="3B36239D" w:rsidR="00D70D43" w:rsidRPr="004B109C" w:rsidRDefault="002A3A54" w:rsidP="002E38A2">
      <w:pPr>
        <w:numPr>
          <w:ilvl w:val="0"/>
          <w:numId w:val="19"/>
        </w:numPr>
        <w:ind w:left="0" w:hanging="450"/>
        <w:jc w:val="both"/>
        <w:rPr>
          <w:rFonts w:ascii="Calibri" w:eastAsia="Times New Roman" w:hAnsi="Calibri" w:cs="Calibri"/>
        </w:rPr>
      </w:pPr>
      <w:r w:rsidRPr="001445F8">
        <w:rPr>
          <w:rFonts w:eastAsia="Times New Roman" w:cstheme="minorHAnsi"/>
          <w:b/>
        </w:rPr>
        <w:t>Incremental</w:t>
      </w:r>
      <w:r>
        <w:rPr>
          <w:rFonts w:eastAsia="Times New Roman" w:cstheme="minorHAnsi"/>
          <w:b/>
        </w:rPr>
        <w:t xml:space="preserve"> Re</w:t>
      </w:r>
      <w:r w:rsidRPr="001445F8">
        <w:rPr>
          <w:rFonts w:eastAsia="Times New Roman" w:cstheme="minorHAnsi"/>
          <w:b/>
        </w:rPr>
        <w:t>asoning and co-financing</w:t>
      </w:r>
      <w:r w:rsidR="00D70D43" w:rsidRPr="00BC4AF5">
        <w:rPr>
          <w:rFonts w:ascii="Calibri" w:eastAsia="Times New Roman" w:hAnsi="Calibri" w:cs="Calibri"/>
          <w:b/>
          <w:bCs/>
        </w:rPr>
        <w:t>.</w:t>
      </w:r>
      <w:r w:rsidR="00D70D43">
        <w:rPr>
          <w:rFonts w:ascii="Calibri" w:eastAsia="Times New Roman" w:hAnsi="Calibri" w:cs="Calibri"/>
          <w:bCs/>
        </w:rPr>
        <w:t xml:space="preserve">  </w:t>
      </w:r>
      <w:r w:rsidR="00D70D43" w:rsidRPr="004B109C">
        <w:rPr>
          <w:rFonts w:cstheme="minorHAnsi"/>
          <w:bCs/>
        </w:rPr>
        <w:t xml:space="preserve">The project will provide incremental funding across the suite of </w:t>
      </w:r>
      <w:r w:rsidR="00D50797">
        <w:rPr>
          <w:rFonts w:cstheme="minorHAnsi"/>
          <w:bCs/>
        </w:rPr>
        <w:t xml:space="preserve">baseline </w:t>
      </w:r>
      <w:r w:rsidR="00D70D43" w:rsidRPr="004B109C">
        <w:rPr>
          <w:rFonts w:cstheme="minorHAnsi"/>
          <w:bCs/>
        </w:rPr>
        <w:t xml:space="preserve">project interventions financed by IDA in the mining sectors that focus on supporting </w:t>
      </w:r>
      <w:r w:rsidR="00D50797">
        <w:rPr>
          <w:rFonts w:cstheme="minorHAnsi"/>
          <w:bCs/>
        </w:rPr>
        <w:t xml:space="preserve">safe, sustainable </w:t>
      </w:r>
      <w:r w:rsidR="00F05082">
        <w:rPr>
          <w:rFonts w:cstheme="minorHAnsi"/>
          <w:bCs/>
        </w:rPr>
        <w:t xml:space="preserve">and environmentally friendly development of ASGM and </w:t>
      </w:r>
      <w:r w:rsidR="00D70D43" w:rsidRPr="004B109C">
        <w:rPr>
          <w:rFonts w:cstheme="minorHAnsi"/>
          <w:bCs/>
        </w:rPr>
        <w:t>improved capacity for effective pollution management. The GEF funding will be used to improve and consolidate the enabling environment necessary for technical assistance to support institutional strengthening and capacity building as well as knowledge sharing, policy dialogue, and regulatory enhancement to generate greater awareness of the impacts, including the health impacts related to the release of UPOPs and mercury. The co-financing from the WB through IDA funding</w:t>
      </w:r>
      <w:r w:rsidR="00AF4961">
        <w:rPr>
          <w:rFonts w:cstheme="minorHAnsi"/>
          <w:bCs/>
        </w:rPr>
        <w:t xml:space="preserve"> (US$ 50 million</w:t>
      </w:r>
      <w:r w:rsidR="00875D86">
        <w:rPr>
          <w:rStyle w:val="FootnoteReference"/>
          <w:rFonts w:cstheme="minorHAnsi"/>
          <w:bCs/>
        </w:rPr>
        <w:footnoteReference w:id="37"/>
      </w:r>
      <w:r w:rsidR="00D70D43" w:rsidRPr="004B109C">
        <w:rPr>
          <w:rFonts w:cstheme="minorHAnsi"/>
          <w:bCs/>
        </w:rPr>
        <w:t>, as well as contributions from participating countries will focus on investment to demonstrate application of technological tools and economic approaches for reduced environmental health risks associated with these harmful chemicals and wastes.</w:t>
      </w:r>
    </w:p>
    <w:p w14:paraId="7FF3ADED" w14:textId="193E4881" w:rsidR="00D70D43" w:rsidRPr="0076621F" w:rsidRDefault="00D70D43" w:rsidP="00D70D43">
      <w:pPr>
        <w:jc w:val="both"/>
        <w:rPr>
          <w:rFonts w:ascii="Calibri" w:eastAsia="Times New Roman" w:hAnsi="Calibri" w:cs="Calibri"/>
          <w:b/>
          <w:bCs/>
        </w:rPr>
      </w:pPr>
      <w:r>
        <w:rPr>
          <w:rFonts w:ascii="Calibri" w:eastAsia="Times New Roman" w:hAnsi="Calibri" w:cs="Calibri"/>
          <w:b/>
          <w:bCs/>
        </w:rPr>
        <w:t>IMPLEMENTATION ARRANGEMENTS</w:t>
      </w:r>
    </w:p>
    <w:p w14:paraId="42644E04" w14:textId="77777777" w:rsidR="00D70D43" w:rsidRPr="00C44F8C" w:rsidRDefault="00D70D43" w:rsidP="002E38A2">
      <w:pPr>
        <w:pStyle w:val="ListParagraph"/>
        <w:numPr>
          <w:ilvl w:val="0"/>
          <w:numId w:val="19"/>
        </w:numPr>
        <w:tabs>
          <w:tab w:val="left" w:pos="0"/>
        </w:tabs>
        <w:ind w:left="0" w:hanging="446"/>
        <w:contextualSpacing w:val="0"/>
        <w:jc w:val="both"/>
        <w:rPr>
          <w:rFonts w:ascii="Calibri" w:eastAsia="Times New Roman" w:hAnsi="Calibri" w:cs="Calibri"/>
        </w:rPr>
      </w:pPr>
      <w:r w:rsidRPr="00C44F8C">
        <w:rPr>
          <w:rFonts w:ascii="Calibri" w:eastAsia="Times New Roman" w:hAnsi="Calibri"/>
        </w:rPr>
        <w:t xml:space="preserve">Both the Environmental Protection Agency (EPA) under the Ghana Ministry of Environment Science, Technology, and Innovation (MESTI) and the Minerals Commission (MC) under the Ministry of Lands and Natural Resources (MLNR) are responsible for regulating and monitoring mercury use in ASGM in accordance with the country’s mining laws.  </w:t>
      </w:r>
      <w:r w:rsidRPr="00C44F8C">
        <w:rPr>
          <w:rFonts w:ascii="Calibri" w:eastAsia="Calibri" w:hAnsi="Calibri" w:cs="Times New Roman"/>
          <w:lang w:val="en-GB"/>
        </w:rPr>
        <w:t xml:space="preserve">EPA is also responsible for regulating and monitoring e-waste management, following Article 6 of the Stockholm Convention on wastes and relevant guidance.  EPA will be the lead implementing agency, in coordination with MESTI and MC, while MESTI will ensure regional coordination.  EPA will hold overall fiduciary and safeguards responsibility.  </w:t>
      </w:r>
    </w:p>
    <w:p w14:paraId="1D11BF1B" w14:textId="77777777" w:rsidR="00D70D43" w:rsidRPr="00C44F8C" w:rsidRDefault="00D70D43" w:rsidP="002E38A2">
      <w:pPr>
        <w:pStyle w:val="ListParagraph"/>
        <w:numPr>
          <w:ilvl w:val="0"/>
          <w:numId w:val="19"/>
        </w:numPr>
        <w:tabs>
          <w:tab w:val="left" w:pos="0"/>
        </w:tabs>
        <w:ind w:left="0" w:hanging="446"/>
        <w:contextualSpacing w:val="0"/>
        <w:jc w:val="both"/>
        <w:rPr>
          <w:rFonts w:ascii="Calibri" w:eastAsia="Times New Roman" w:hAnsi="Calibri" w:cs="Calibri"/>
        </w:rPr>
      </w:pPr>
      <w:r w:rsidRPr="00C44F8C">
        <w:rPr>
          <w:rFonts w:ascii="Calibri" w:eastAsia="Calibri" w:hAnsi="Calibri" w:cs="Times New Roman"/>
          <w:b/>
          <w:lang w:val="en-GB"/>
        </w:rPr>
        <w:t>National Steering Committee (NSC).</w:t>
      </w:r>
      <w:r w:rsidRPr="00C44F8C">
        <w:rPr>
          <w:rFonts w:ascii="Calibri" w:eastAsia="Calibri" w:hAnsi="Calibri" w:cs="Times New Roman"/>
          <w:lang w:val="en-GB"/>
        </w:rPr>
        <w:t xml:space="preserve"> </w:t>
      </w:r>
      <w:r w:rsidRPr="00C44F8C">
        <w:rPr>
          <w:rFonts w:ascii="Calibri" w:eastAsia="Times New Roman" w:hAnsi="Calibri" w:cs="Calibri"/>
          <w:bCs/>
          <w:lang w:val="en-GB"/>
        </w:rPr>
        <w:t xml:space="preserve">The NSC will operate as the primary decision-making body for the </w:t>
      </w:r>
      <w:r w:rsidRPr="00C44F8C">
        <w:rPr>
          <w:rFonts w:ascii="Calibri" w:eastAsia="Times New Roman" w:hAnsi="Calibri" w:cs="Times New Roman"/>
          <w:bCs/>
          <w:lang w:val="en-GB"/>
        </w:rPr>
        <w:t>P</w:t>
      </w:r>
      <w:r w:rsidRPr="00C44F8C">
        <w:rPr>
          <w:rFonts w:ascii="Calibri" w:eastAsia="Times New Roman" w:hAnsi="Calibri" w:cs="Calibri"/>
          <w:bCs/>
          <w:lang w:val="en-GB"/>
        </w:rPr>
        <w:t>roject.</w:t>
      </w:r>
      <w:r w:rsidRPr="00C44F8C">
        <w:rPr>
          <w:rFonts w:ascii="Calibri" w:eastAsia="Times New Roman" w:hAnsi="Calibri" w:cs="Times New Roman"/>
          <w:bCs/>
          <w:lang w:val="en-GB"/>
        </w:rPr>
        <w:t xml:space="preserve"> </w:t>
      </w:r>
      <w:r w:rsidRPr="00C44F8C">
        <w:rPr>
          <w:rFonts w:ascii="Calibri" w:eastAsia="Calibri" w:hAnsi="Calibri" w:cs="Times New Roman"/>
          <w:lang w:val="en-GB"/>
        </w:rPr>
        <w:t xml:space="preserve"> It will be co-chaired </w:t>
      </w:r>
      <w:r w:rsidRPr="00C44F8C">
        <w:rPr>
          <w:rFonts w:ascii="Calibri" w:eastAsia="Times New Roman" w:hAnsi="Calibri"/>
          <w:bCs/>
          <w:lang w:val="en-GB"/>
        </w:rPr>
        <w:t xml:space="preserve">by the Ministry of Environment Science Technology &amp; Innovation and the Ministry of Lands and Natural Resources.  Other members include the Ministry of Finance; Ministry of Health; Ministry of Local Government and Rural Development; Ministry of Trade; Ministry of Gender, Children and Social Protection; Ministry of Water and Sanitation; Ministry of Monitoring and Evaluation; Ministry of Food and Agriculture; Ministry of Chieftaincy; Ministry of Defence; Ministry of National Security; National House of Chiefs; Ministry of Justice; and Attorney General's Department.  The NSC will </w:t>
      </w:r>
      <w:r w:rsidRPr="00C44F8C">
        <w:rPr>
          <w:rFonts w:cstheme="minorHAnsi"/>
        </w:rPr>
        <w:t xml:space="preserve">review progress reports and provides guidance on policy matters; review work plan and budget; facilitate coordination across agencies and implementation as needed; and support outreach and resource mobilization.  </w:t>
      </w:r>
      <w:r w:rsidRPr="00C44F8C">
        <w:rPr>
          <w:rFonts w:ascii="Calibri" w:eastAsia="Times New Roman" w:hAnsi="Calibri"/>
          <w:bCs/>
          <w:lang w:val="en-GB"/>
        </w:rPr>
        <w:t>The NSC will meet twice a year, before the Project’s report/Work Plan/Budget are submitted to the Bank for review and no objection.</w:t>
      </w:r>
    </w:p>
    <w:p w14:paraId="4CDD2581" w14:textId="77777777" w:rsidR="00D70D43" w:rsidRPr="00C44F8C" w:rsidRDefault="00D70D43" w:rsidP="002E38A2">
      <w:pPr>
        <w:pStyle w:val="ListParagraph"/>
        <w:numPr>
          <w:ilvl w:val="0"/>
          <w:numId w:val="19"/>
        </w:numPr>
        <w:tabs>
          <w:tab w:val="left" w:pos="0"/>
        </w:tabs>
        <w:ind w:left="0" w:hanging="446"/>
        <w:contextualSpacing w:val="0"/>
        <w:jc w:val="both"/>
        <w:rPr>
          <w:rFonts w:ascii="Calibri" w:eastAsia="Times New Roman" w:hAnsi="Calibri" w:cs="Calibri"/>
        </w:rPr>
      </w:pPr>
      <w:r w:rsidRPr="00C44F8C">
        <w:rPr>
          <w:rFonts w:ascii="Calibri" w:eastAsia="Calibri" w:hAnsi="Calibri" w:cs="Times New Roman"/>
          <w:b/>
          <w:lang w:val="en-GB"/>
        </w:rPr>
        <w:t>Project Implementation Unit</w:t>
      </w:r>
      <w:r w:rsidRPr="00C44F8C">
        <w:rPr>
          <w:rFonts w:ascii="Calibri" w:eastAsia="Calibri" w:hAnsi="Calibri" w:cs="Times New Roman"/>
          <w:lang w:val="en-GB"/>
        </w:rPr>
        <w:t xml:space="preserve">: A PIU will be mainstreamed in EPA and be responsible for overall project management, facilitation of work programs, fiduciary management, supervision of implementation and project reporting. The PIU will coordinate the Project under the leadership of the Executive Director or Deputy Executive Director (Technical Services) of EPA.  EPA will provide dedicated staff for the positions </w:t>
      </w:r>
      <w:r w:rsidRPr="00C44F8C">
        <w:rPr>
          <w:rFonts w:ascii="Calibri" w:eastAsia="Calibri" w:hAnsi="Calibri" w:cs="Times New Roman"/>
          <w:lang w:val="en-GB"/>
        </w:rPr>
        <w:lastRenderedPageBreak/>
        <w:t xml:space="preserve">of Project Coordinator (at Senior level), Monitoring and Evaluation officer, Environmental and Social Management officer, Finance and Accounts officer, Communication officer and Procurement officer.  A Deputy Coordinator will be recruited, focusing on the Project’s dimension not covered by the coordinator (e.g., ASGM or e-waste).  </w:t>
      </w:r>
      <w:proofErr w:type="spellStart"/>
      <w:r w:rsidRPr="00C44F8C">
        <w:rPr>
          <w:rFonts w:ascii="Calibri" w:eastAsia="Calibri" w:hAnsi="Calibri" w:cs="Times New Roman"/>
          <w:lang w:val="en-GB"/>
        </w:rPr>
        <w:t>MnE</w:t>
      </w:r>
      <w:proofErr w:type="spellEnd"/>
      <w:r w:rsidRPr="00C44F8C">
        <w:rPr>
          <w:rFonts w:ascii="Calibri" w:eastAsia="Calibri" w:hAnsi="Calibri" w:cs="Times New Roman"/>
          <w:lang w:val="en-GB"/>
        </w:rPr>
        <w:t xml:space="preserve"> functions will be carried out jointly by EPA and MESTI (PPME).  Depending on investments considered under component 3, and their social implications, Social Development Specialists might be further recruited to cover social safeguards aspects.  PIU staff resources may be supplemented from time to time as needed with short term consulting expertise for financial management, procurement, environmental and social management, communication, reporting and logistics.  The PIU will coordinate closely with all Implementing Agencies (Environmental Protection Agency and, Minerals Commission) and will be responsible for preparing work plans and budgets for implementation.  T</w:t>
      </w:r>
      <w:r w:rsidRPr="00C44F8C">
        <w:rPr>
          <w:rFonts w:ascii="Calibri" w:eastAsia="Calibri" w:hAnsi="Calibri" w:cs="Times New Roman"/>
        </w:rPr>
        <w:t xml:space="preserve">he PIU will coordinate closely with the PCU for the proposed </w:t>
      </w:r>
      <w:r w:rsidRPr="00C44F8C">
        <w:rPr>
          <w:rFonts w:ascii="Calibri" w:eastAsia="Calibri" w:hAnsi="Calibri" w:cs="Times New Roman"/>
          <w:lang w:val="en-GB"/>
        </w:rPr>
        <w:t>Artisanal and Small-Scale Mining Formalization Project (P168002) and the Project management unit (PMU) for the Forest Investment Program (FIP) - Enhancing Natural Forest and Agroforest Landscapes Project (P148183).  The PIU will also serve as the secretariat to the National Steering Committee.</w:t>
      </w:r>
    </w:p>
    <w:p w14:paraId="5AF4B6A1" w14:textId="77777777" w:rsidR="00D70D43" w:rsidRDefault="00D70D43" w:rsidP="00D70D43">
      <w:pPr>
        <w:tabs>
          <w:tab w:val="left" w:pos="0"/>
        </w:tabs>
        <w:contextualSpacing/>
        <w:jc w:val="both"/>
        <w:rPr>
          <w:rFonts w:ascii="Calibri" w:eastAsia="Times New Roman" w:hAnsi="Calibri" w:cs="Calibri"/>
          <w:b/>
        </w:rPr>
      </w:pPr>
      <w:r w:rsidRPr="00971330">
        <w:rPr>
          <w:rFonts w:ascii="Calibri" w:eastAsia="Times New Roman" w:hAnsi="Calibri" w:cs="Calibri"/>
          <w:b/>
        </w:rPr>
        <w:t xml:space="preserve">Financial Management </w:t>
      </w:r>
    </w:p>
    <w:p w14:paraId="790F267C" w14:textId="77777777" w:rsidR="00D70D43" w:rsidRPr="00B106DC" w:rsidRDefault="00D70D43" w:rsidP="002E38A2">
      <w:pPr>
        <w:pStyle w:val="ListParagraph"/>
        <w:numPr>
          <w:ilvl w:val="0"/>
          <w:numId w:val="19"/>
        </w:numPr>
        <w:tabs>
          <w:tab w:val="left" w:pos="0"/>
        </w:tabs>
        <w:ind w:left="0" w:hanging="450"/>
        <w:contextualSpacing w:val="0"/>
        <w:jc w:val="both"/>
        <w:rPr>
          <w:rFonts w:ascii="Calibri" w:eastAsia="Times New Roman" w:hAnsi="Calibri" w:cs="Calibri"/>
        </w:rPr>
      </w:pPr>
      <w:r w:rsidRPr="00B106DC">
        <w:rPr>
          <w:rFonts w:ascii="Calibri" w:eastAsia="Times New Roman" w:hAnsi="Calibri" w:cs="Calibri"/>
        </w:rPr>
        <w:t>An FM assessment was carried out for the Environmental Protection Agency (EPA) on January 8, 2019, in accordance with the World Bank’s Bank policy on Investment Financing.  The objective of the assessment was to determine whether (i) EPA has adequate financial management arrangements to ensure funds are used for the intended purpose; (ii) project financial reports can be prepared in a timely, accurate, and reliable manner; and (iii) the agency’s assets will be safeguarded from fraud, waste, and abuse.  FM arrangements were found to be adequate based on the EPA’s following strengths: (1) EPA accounting team, headed by the Director of Finance, supported by three qualified and experienced accountants, can effectively segregate accounting tasks to promote a strong control environment; (2) the appropriate levels of review, authorization, and approval of payment vouchers are in place and functioning as intended; and (3) EPA accounting staff are experienced in managing donor-funded projects and can utilize this knowledge to effectively manage the Project.  The assessment concluded that the existing arrangements for the continuing, adequacy and reliance of the financial management systems of the Project are adequate and meet the minimum requirement per Bank policy on Investment Financing.  Overall, the FM arrangement for the Project is rated Satisfactory, and the FM risk rating for EPA is considered Moderate.</w:t>
      </w:r>
    </w:p>
    <w:p w14:paraId="554467BE" w14:textId="77777777" w:rsidR="00D70D43" w:rsidRPr="00B106DC" w:rsidRDefault="00D70D43" w:rsidP="002E38A2">
      <w:pPr>
        <w:pStyle w:val="ListParagraph"/>
        <w:numPr>
          <w:ilvl w:val="0"/>
          <w:numId w:val="19"/>
        </w:numPr>
        <w:tabs>
          <w:tab w:val="left" w:pos="0"/>
        </w:tabs>
        <w:ind w:left="0" w:hanging="450"/>
        <w:contextualSpacing w:val="0"/>
        <w:jc w:val="both"/>
        <w:rPr>
          <w:rFonts w:ascii="Calibri" w:eastAsia="Times New Roman" w:hAnsi="Calibri" w:cs="Calibri"/>
        </w:rPr>
      </w:pPr>
      <w:r w:rsidRPr="00B106DC">
        <w:rPr>
          <w:rFonts w:ascii="Calibri" w:eastAsia="Times New Roman" w:hAnsi="Calibri" w:cs="Calibri"/>
        </w:rPr>
        <w:t xml:space="preserve">The primary executing agency for the project will be EPA with the responsibility of coordinating activities of the various agencies.  The Director of Finance at EPA will be responsible for the overall FM of the project components assigned to EPA.  The Ghana Audit Service will be responsible for the auditing of EPA’s financial statements.  Given that there may be capacity constraints, the Auditor General may subcontract the audit to a private firm and such arrangement will be followed subject to the Bank’s necessary procurement and technical clearance of the terms of reference (TOR). The Internal Audit (IA) Unit at EPA will carry out the internal audit of the Project, and the EPA’s audit committee will be responsible for reviewing the Internal Audit units reports and will ensure that the recommendations are implemented.  Based on the risk rating of the Project and the current FM arrangements, it is expected that there will be only one on-site supervision mission to ascertain the adequacy of systems supplemented by desk reviews of IFR and audit report. </w:t>
      </w:r>
    </w:p>
    <w:p w14:paraId="3C4CD83D"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rPr>
        <w:lastRenderedPageBreak/>
        <w:t xml:space="preserve">The action plan </w:t>
      </w:r>
      <w:r>
        <w:rPr>
          <w:rFonts w:ascii="Calibri" w:eastAsia="Times New Roman" w:hAnsi="Calibri" w:cs="Calibri"/>
        </w:rPr>
        <w:t xml:space="preserve">below </w:t>
      </w:r>
      <w:r w:rsidRPr="00971330">
        <w:rPr>
          <w:rFonts w:ascii="Calibri" w:eastAsia="Times New Roman" w:hAnsi="Calibri" w:cs="Calibri"/>
        </w:rPr>
        <w:t xml:space="preserve">provides guidance on the next steps to take to ensure that financial management (FM) arrangements are strengthened </w:t>
      </w:r>
      <w:r>
        <w:rPr>
          <w:rFonts w:ascii="Calibri" w:eastAsia="Times New Roman" w:hAnsi="Calibri" w:cs="Calibri"/>
        </w:rPr>
        <w:t>(</w:t>
      </w:r>
      <w:r w:rsidRPr="00971330">
        <w:rPr>
          <w:rFonts w:ascii="Calibri" w:eastAsia="Times New Roman" w:hAnsi="Calibri" w:cs="Calibri"/>
        </w:rPr>
        <w:t xml:space="preserve">i.e., the Director of Finance will ensure that EPA will allocate </w:t>
      </w:r>
      <w:proofErr w:type="gramStart"/>
      <w:r w:rsidRPr="00971330">
        <w:rPr>
          <w:rFonts w:ascii="Calibri" w:eastAsia="Times New Roman" w:hAnsi="Calibri" w:cs="Calibri"/>
        </w:rPr>
        <w:t>sufficient</w:t>
      </w:r>
      <w:proofErr w:type="gramEnd"/>
      <w:r w:rsidRPr="00971330">
        <w:rPr>
          <w:rFonts w:ascii="Calibri" w:eastAsia="Times New Roman" w:hAnsi="Calibri" w:cs="Calibri"/>
        </w:rPr>
        <w:t xml:space="preserve"> internal audit resources to the Project</w:t>
      </w:r>
      <w:r>
        <w:rPr>
          <w:rFonts w:ascii="Calibri" w:eastAsia="Times New Roman" w:hAnsi="Calibri" w:cs="Calibri"/>
        </w:rPr>
        <w:t>)</w:t>
      </w:r>
      <w:r w:rsidRPr="00971330">
        <w:rPr>
          <w:rFonts w:ascii="Calibri" w:eastAsia="Times New Roman" w:hAnsi="Calibri" w:cs="Calibri"/>
        </w:rPr>
        <w:t xml:space="preserve">.  The first Internal Audit report will be due no later than 6 months after project Effectiveness.  </w:t>
      </w:r>
    </w:p>
    <w:p w14:paraId="6B106B6F" w14:textId="77777777" w:rsidR="00D70D43" w:rsidRDefault="00D70D43" w:rsidP="00D70D43"/>
    <w:tbl>
      <w:tblPr>
        <w:tblStyle w:val="GridTable4-Accent5"/>
        <w:tblW w:w="9625" w:type="dxa"/>
        <w:tblLook w:val="04A0" w:firstRow="1" w:lastRow="0" w:firstColumn="1" w:lastColumn="0" w:noHBand="0" w:noVBand="1"/>
      </w:tblPr>
      <w:tblGrid>
        <w:gridCol w:w="3599"/>
        <w:gridCol w:w="3406"/>
        <w:gridCol w:w="2620"/>
      </w:tblGrid>
      <w:tr w:rsidR="00D70D43" w:rsidRPr="00324BC9" w14:paraId="2FF14F6F" w14:textId="77777777" w:rsidTr="007463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99" w:type="dxa"/>
            <w:hideMark/>
          </w:tcPr>
          <w:p w14:paraId="6FF661E7" w14:textId="77777777" w:rsidR="00D70D43" w:rsidRPr="009E6E43" w:rsidRDefault="00D70D43" w:rsidP="007463F5">
            <w:pPr>
              <w:pStyle w:val="NoSpacing"/>
              <w:ind w:left="60"/>
              <w:rPr>
                <w:rFonts w:cstheme="minorHAnsi"/>
                <w:b/>
                <w:szCs w:val="22"/>
              </w:rPr>
            </w:pPr>
            <w:r w:rsidRPr="009E6E43">
              <w:rPr>
                <w:rFonts w:cstheme="minorHAnsi"/>
                <w:szCs w:val="22"/>
              </w:rPr>
              <w:t>Action Plan</w:t>
            </w:r>
          </w:p>
        </w:tc>
        <w:tc>
          <w:tcPr>
            <w:tcW w:w="3406" w:type="dxa"/>
            <w:hideMark/>
          </w:tcPr>
          <w:p w14:paraId="5A16E05D" w14:textId="77777777" w:rsidR="00D70D43" w:rsidRPr="009E6E43" w:rsidRDefault="00D70D43" w:rsidP="007463F5">
            <w:pPr>
              <w:pStyle w:val="NoSpacing"/>
              <w:ind w:left="31"/>
              <w:cnfStyle w:val="100000000000" w:firstRow="1" w:lastRow="0" w:firstColumn="0" w:lastColumn="0" w:oddVBand="0" w:evenVBand="0" w:oddHBand="0" w:evenHBand="0" w:firstRowFirstColumn="0" w:firstRowLastColumn="0" w:lastRowFirstColumn="0" w:lastRowLastColumn="0"/>
              <w:rPr>
                <w:rFonts w:cstheme="minorHAnsi"/>
                <w:b/>
                <w:bCs w:val="0"/>
                <w:szCs w:val="22"/>
              </w:rPr>
            </w:pPr>
            <w:r w:rsidRPr="009E6E43">
              <w:rPr>
                <w:rFonts w:cstheme="minorHAnsi"/>
                <w:szCs w:val="22"/>
              </w:rPr>
              <w:t xml:space="preserve">Responsible Party </w:t>
            </w:r>
          </w:p>
        </w:tc>
        <w:tc>
          <w:tcPr>
            <w:tcW w:w="2620" w:type="dxa"/>
            <w:hideMark/>
          </w:tcPr>
          <w:p w14:paraId="3AAA3CF5" w14:textId="77777777" w:rsidR="00D70D43" w:rsidRPr="009E6E43" w:rsidRDefault="00D70D43" w:rsidP="007463F5">
            <w:pPr>
              <w:pStyle w:val="NoSpacing"/>
              <w:ind w:left="0"/>
              <w:cnfStyle w:val="100000000000" w:firstRow="1" w:lastRow="0" w:firstColumn="0" w:lastColumn="0" w:oddVBand="0" w:evenVBand="0" w:oddHBand="0" w:evenHBand="0" w:firstRowFirstColumn="0" w:firstRowLastColumn="0" w:lastRowFirstColumn="0" w:lastRowLastColumn="0"/>
              <w:rPr>
                <w:rFonts w:cstheme="minorHAnsi"/>
                <w:b/>
                <w:bCs w:val="0"/>
                <w:szCs w:val="22"/>
              </w:rPr>
            </w:pPr>
            <w:r w:rsidRPr="009E6E43">
              <w:rPr>
                <w:rFonts w:cstheme="minorHAnsi"/>
                <w:szCs w:val="22"/>
              </w:rPr>
              <w:t>Timeline</w:t>
            </w:r>
          </w:p>
        </w:tc>
      </w:tr>
      <w:tr w:rsidR="00D70D43" w:rsidRPr="00324BC9" w14:paraId="214FBA75" w14:textId="77777777" w:rsidTr="007463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99" w:type="dxa"/>
          </w:tcPr>
          <w:p w14:paraId="5781134A" w14:textId="77777777" w:rsidR="00D70D43" w:rsidRPr="009E6E43" w:rsidRDefault="00D70D43" w:rsidP="007463F5">
            <w:pPr>
              <w:pStyle w:val="NoSpacing"/>
              <w:ind w:left="60"/>
              <w:jc w:val="both"/>
              <w:rPr>
                <w:rFonts w:cstheme="minorHAnsi"/>
                <w:b/>
                <w:bCs w:val="0"/>
                <w:szCs w:val="22"/>
              </w:rPr>
            </w:pPr>
            <w:r w:rsidRPr="009E6E43">
              <w:rPr>
                <w:rFonts w:cstheme="minorHAnsi"/>
                <w:szCs w:val="22"/>
              </w:rPr>
              <w:t>Policies and Procedures</w:t>
            </w:r>
          </w:p>
          <w:p w14:paraId="0DCDE00B" w14:textId="77777777" w:rsidR="00D70D43" w:rsidRPr="009E6E43" w:rsidRDefault="00D70D43" w:rsidP="007463F5">
            <w:pPr>
              <w:pStyle w:val="NoSpacing"/>
              <w:ind w:left="60"/>
              <w:jc w:val="both"/>
              <w:rPr>
                <w:rFonts w:cstheme="minorHAnsi"/>
                <w:bCs w:val="0"/>
                <w:szCs w:val="22"/>
              </w:rPr>
            </w:pPr>
            <w:r w:rsidRPr="009E6E43">
              <w:rPr>
                <w:rFonts w:cstheme="minorHAnsi"/>
                <w:szCs w:val="22"/>
              </w:rPr>
              <w:t>EPA is required to finalize and circulate the new accounting manual to prevent a disruption in accounting activities and provide guidance on to ensure that accounting policies and procedures according to the PFM act and GIFMIS guidelines.</w:t>
            </w:r>
          </w:p>
          <w:p w14:paraId="2E18B786" w14:textId="77777777" w:rsidR="00D70D43" w:rsidRPr="009E6E43" w:rsidRDefault="00D70D43" w:rsidP="007463F5">
            <w:pPr>
              <w:pStyle w:val="NoSpacing"/>
              <w:ind w:left="60"/>
              <w:jc w:val="both"/>
              <w:rPr>
                <w:rFonts w:cstheme="minorHAnsi"/>
                <w:szCs w:val="22"/>
              </w:rPr>
            </w:pPr>
          </w:p>
          <w:p w14:paraId="05456BFF" w14:textId="77777777" w:rsidR="00D70D43" w:rsidRDefault="00D70D43" w:rsidP="007463F5">
            <w:pPr>
              <w:pStyle w:val="NoSpacing"/>
              <w:ind w:left="60"/>
              <w:jc w:val="both"/>
              <w:rPr>
                <w:rFonts w:cstheme="minorHAnsi"/>
                <w:b/>
                <w:bCs w:val="0"/>
                <w:szCs w:val="22"/>
              </w:rPr>
            </w:pPr>
            <w:r w:rsidRPr="009E6E43">
              <w:rPr>
                <w:rFonts w:cstheme="minorHAnsi"/>
                <w:szCs w:val="22"/>
              </w:rPr>
              <w:t>EPA should review the manual and ensure that it includes guidelines on data security and back</w:t>
            </w:r>
            <w:r>
              <w:rPr>
                <w:rFonts w:cstheme="minorHAnsi"/>
                <w:szCs w:val="22"/>
              </w:rPr>
              <w:t>-</w:t>
            </w:r>
            <w:r w:rsidRPr="009E6E43">
              <w:rPr>
                <w:rFonts w:cstheme="minorHAnsi"/>
                <w:szCs w:val="22"/>
              </w:rPr>
              <w:t xml:space="preserve">up procedures. </w:t>
            </w:r>
          </w:p>
          <w:p w14:paraId="534CC0B8" w14:textId="77777777" w:rsidR="00D70D43" w:rsidRPr="009E6E43" w:rsidRDefault="00D70D43" w:rsidP="007463F5">
            <w:pPr>
              <w:pStyle w:val="NoSpacing"/>
              <w:ind w:left="60"/>
              <w:jc w:val="both"/>
              <w:rPr>
                <w:rFonts w:cstheme="minorHAnsi"/>
                <w:szCs w:val="22"/>
              </w:rPr>
            </w:pPr>
          </w:p>
        </w:tc>
        <w:tc>
          <w:tcPr>
            <w:tcW w:w="3406" w:type="dxa"/>
            <w:hideMark/>
          </w:tcPr>
          <w:p w14:paraId="428A3DB1" w14:textId="77777777" w:rsidR="00D70D43" w:rsidRPr="009E6E43" w:rsidRDefault="00D70D43" w:rsidP="007463F5">
            <w:pPr>
              <w:pStyle w:val="NoSpacing"/>
              <w:ind w:left="31"/>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9E6E43">
              <w:rPr>
                <w:rFonts w:cstheme="minorHAnsi"/>
                <w:b w:val="0"/>
                <w:szCs w:val="22"/>
              </w:rPr>
              <w:t>Director of Finance</w:t>
            </w:r>
          </w:p>
        </w:tc>
        <w:tc>
          <w:tcPr>
            <w:tcW w:w="2620" w:type="dxa"/>
            <w:hideMark/>
          </w:tcPr>
          <w:p w14:paraId="4C6D89E3" w14:textId="77777777" w:rsidR="00D70D43" w:rsidRPr="009E6E43" w:rsidRDefault="00D70D43" w:rsidP="007463F5">
            <w:pPr>
              <w:pStyle w:val="NoSpacing"/>
              <w:ind w:left="0"/>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9E6E43">
              <w:rPr>
                <w:rFonts w:cstheme="minorHAnsi"/>
                <w:b w:val="0"/>
                <w:szCs w:val="22"/>
              </w:rPr>
              <w:t>February 15 2020</w:t>
            </w:r>
          </w:p>
        </w:tc>
      </w:tr>
      <w:tr w:rsidR="00D70D43" w:rsidRPr="00324BC9" w14:paraId="30DB4A97" w14:textId="77777777" w:rsidTr="007463F5">
        <w:tc>
          <w:tcPr>
            <w:cnfStyle w:val="001000000000" w:firstRow="0" w:lastRow="0" w:firstColumn="1" w:lastColumn="0" w:oddVBand="0" w:evenVBand="0" w:oddHBand="0" w:evenHBand="0" w:firstRowFirstColumn="0" w:firstRowLastColumn="0" w:lastRowFirstColumn="0" w:lastRowLastColumn="0"/>
            <w:tcW w:w="3599" w:type="dxa"/>
            <w:hideMark/>
          </w:tcPr>
          <w:p w14:paraId="0AB0F10D" w14:textId="77777777" w:rsidR="00D70D43" w:rsidRPr="009E6E43" w:rsidRDefault="00D70D43" w:rsidP="007463F5">
            <w:pPr>
              <w:pStyle w:val="NoSpacing"/>
              <w:ind w:left="60"/>
              <w:rPr>
                <w:rFonts w:cstheme="minorHAnsi"/>
                <w:b/>
                <w:szCs w:val="22"/>
              </w:rPr>
            </w:pPr>
            <w:r w:rsidRPr="009E6E43">
              <w:rPr>
                <w:rFonts w:cstheme="minorHAnsi"/>
                <w:szCs w:val="22"/>
              </w:rPr>
              <w:t>Internal Audit Involvement</w:t>
            </w:r>
          </w:p>
          <w:p w14:paraId="411C2B55" w14:textId="77777777" w:rsidR="00D70D43" w:rsidRDefault="00D70D43" w:rsidP="007463F5">
            <w:pPr>
              <w:pStyle w:val="NoSpacing"/>
              <w:ind w:left="60"/>
              <w:rPr>
                <w:rFonts w:cstheme="minorHAnsi"/>
                <w:b/>
                <w:bCs w:val="0"/>
                <w:szCs w:val="22"/>
              </w:rPr>
            </w:pPr>
            <w:r w:rsidRPr="009E6E43">
              <w:rPr>
                <w:rFonts w:cstheme="minorHAnsi"/>
                <w:szCs w:val="22"/>
              </w:rPr>
              <w:t>A copy of the Internal Audit 2020 AWP for EPA has been requested by WB to determine the units planned involvement in this program.</w:t>
            </w:r>
          </w:p>
          <w:p w14:paraId="70B72AC7" w14:textId="77777777" w:rsidR="00D70D43" w:rsidRPr="009E6E43" w:rsidRDefault="00D70D43" w:rsidP="007463F5">
            <w:pPr>
              <w:pStyle w:val="NoSpacing"/>
              <w:ind w:left="60"/>
              <w:rPr>
                <w:rFonts w:cstheme="minorHAnsi"/>
                <w:b/>
                <w:bCs w:val="0"/>
                <w:szCs w:val="22"/>
              </w:rPr>
            </w:pPr>
          </w:p>
        </w:tc>
        <w:tc>
          <w:tcPr>
            <w:tcW w:w="3406" w:type="dxa"/>
            <w:hideMark/>
          </w:tcPr>
          <w:p w14:paraId="3DF0F866" w14:textId="77777777" w:rsidR="00D70D43" w:rsidRPr="00C40307" w:rsidRDefault="00D70D43" w:rsidP="007463F5">
            <w:pPr>
              <w:pStyle w:val="NoSpacing"/>
              <w:ind w:left="31"/>
              <w:cnfStyle w:val="000000000000" w:firstRow="0" w:lastRow="0" w:firstColumn="0" w:lastColumn="0" w:oddVBand="0" w:evenVBand="0" w:oddHBand="0" w:evenHBand="0" w:firstRowFirstColumn="0" w:firstRowLastColumn="0" w:lastRowFirstColumn="0" w:lastRowLastColumn="0"/>
              <w:rPr>
                <w:rFonts w:cstheme="minorHAnsi"/>
                <w:b w:val="0"/>
                <w:szCs w:val="22"/>
              </w:rPr>
            </w:pPr>
            <w:r w:rsidRPr="009E6E43">
              <w:rPr>
                <w:rFonts w:cstheme="minorHAnsi"/>
                <w:b w:val="0"/>
                <w:szCs w:val="22"/>
              </w:rPr>
              <w:t>Director of Finance</w:t>
            </w:r>
          </w:p>
        </w:tc>
        <w:tc>
          <w:tcPr>
            <w:tcW w:w="2620" w:type="dxa"/>
            <w:hideMark/>
          </w:tcPr>
          <w:p w14:paraId="60762E4E" w14:textId="77777777" w:rsidR="00D70D43" w:rsidRPr="001C436A" w:rsidRDefault="00D70D43" w:rsidP="007463F5">
            <w:pPr>
              <w:pStyle w:val="NoSpacing"/>
              <w:ind w:left="0"/>
              <w:cnfStyle w:val="000000000000" w:firstRow="0" w:lastRow="0" w:firstColumn="0" w:lastColumn="0" w:oddVBand="0" w:evenVBand="0" w:oddHBand="0" w:evenHBand="0" w:firstRowFirstColumn="0" w:firstRowLastColumn="0" w:lastRowFirstColumn="0" w:lastRowLastColumn="0"/>
              <w:rPr>
                <w:rFonts w:cstheme="minorHAnsi"/>
                <w:b w:val="0"/>
                <w:szCs w:val="22"/>
              </w:rPr>
            </w:pPr>
            <w:r w:rsidRPr="001C436A">
              <w:rPr>
                <w:rFonts w:cstheme="minorHAnsi"/>
                <w:b w:val="0"/>
                <w:szCs w:val="22"/>
              </w:rPr>
              <w:t>March 01, 2020</w:t>
            </w:r>
          </w:p>
        </w:tc>
      </w:tr>
      <w:tr w:rsidR="00D70D43" w:rsidRPr="00324BC9" w14:paraId="279ABEBA" w14:textId="77777777" w:rsidTr="007463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99" w:type="dxa"/>
          </w:tcPr>
          <w:p w14:paraId="67C95E0B" w14:textId="77777777" w:rsidR="00D70D43" w:rsidRPr="00324BC9" w:rsidRDefault="00D70D43" w:rsidP="007463F5">
            <w:pPr>
              <w:pStyle w:val="NoSpacing"/>
              <w:ind w:left="60"/>
              <w:rPr>
                <w:rFonts w:cstheme="minorHAnsi"/>
                <w:szCs w:val="22"/>
              </w:rPr>
            </w:pPr>
            <w:r w:rsidRPr="009255A3">
              <w:t xml:space="preserve">EPA Ghana is required to open project designated accounts and provide WB Ghana with the USD Account details to be setup in client connection for funds flow purposes. The </w:t>
            </w:r>
            <w:r>
              <w:t>b</w:t>
            </w:r>
            <w:r w:rsidRPr="009255A3">
              <w:t xml:space="preserve">ank account should be opened at a </w:t>
            </w:r>
            <w:r>
              <w:t>b</w:t>
            </w:r>
            <w:r w:rsidRPr="009255A3">
              <w:t xml:space="preserve">ank acceptable to </w:t>
            </w:r>
            <w:proofErr w:type="spellStart"/>
            <w:r w:rsidRPr="009255A3">
              <w:t>GoG</w:t>
            </w:r>
            <w:proofErr w:type="spellEnd"/>
            <w:r w:rsidRPr="009255A3">
              <w:t xml:space="preserve"> and IDA, usually the Bank of Ghana (</w:t>
            </w:r>
            <w:proofErr w:type="spellStart"/>
            <w:r w:rsidRPr="009255A3">
              <w:t>BoG</w:t>
            </w:r>
            <w:proofErr w:type="spellEnd"/>
            <w:r w:rsidRPr="009255A3">
              <w:t>).</w:t>
            </w:r>
          </w:p>
        </w:tc>
        <w:tc>
          <w:tcPr>
            <w:tcW w:w="3406" w:type="dxa"/>
          </w:tcPr>
          <w:p w14:paraId="3329A802" w14:textId="77777777" w:rsidR="00D70D43" w:rsidRPr="00A70A0A" w:rsidRDefault="00D70D43" w:rsidP="007463F5">
            <w:pPr>
              <w:pStyle w:val="NoSpacing"/>
              <w:ind w:left="31"/>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C40307">
              <w:rPr>
                <w:b w:val="0"/>
              </w:rPr>
              <w:t>Director of Finance</w:t>
            </w:r>
          </w:p>
        </w:tc>
        <w:tc>
          <w:tcPr>
            <w:tcW w:w="2620" w:type="dxa"/>
          </w:tcPr>
          <w:p w14:paraId="601F30A9" w14:textId="77777777" w:rsidR="00D70D43" w:rsidRPr="00A70A0A" w:rsidRDefault="00D70D43" w:rsidP="007463F5">
            <w:pPr>
              <w:pStyle w:val="NoSpacing"/>
              <w:ind w:left="0"/>
              <w:cnfStyle w:val="000000100000" w:firstRow="0" w:lastRow="0" w:firstColumn="0" w:lastColumn="0" w:oddVBand="0" w:evenVBand="0" w:oddHBand="1" w:evenHBand="0" w:firstRowFirstColumn="0" w:firstRowLastColumn="0" w:lastRowFirstColumn="0" w:lastRowLastColumn="0"/>
              <w:rPr>
                <w:rFonts w:cstheme="minorHAnsi"/>
                <w:b w:val="0"/>
                <w:szCs w:val="22"/>
              </w:rPr>
            </w:pPr>
            <w:r w:rsidRPr="00C40307">
              <w:rPr>
                <w:b w:val="0"/>
              </w:rPr>
              <w:t>Prior to project effectiveness</w:t>
            </w:r>
          </w:p>
        </w:tc>
      </w:tr>
    </w:tbl>
    <w:p w14:paraId="7693BEA8" w14:textId="77777777" w:rsidR="00D70D43" w:rsidRPr="00971330" w:rsidRDefault="00D70D43" w:rsidP="00D70D43">
      <w:pPr>
        <w:rPr>
          <w:rFonts w:ascii="Calibri" w:eastAsia="Times New Roman" w:hAnsi="Calibri" w:cs="Calibri"/>
          <w:b/>
        </w:rPr>
      </w:pPr>
    </w:p>
    <w:p w14:paraId="1D06321D" w14:textId="77777777" w:rsidR="00D70D43" w:rsidRDefault="00D70D43" w:rsidP="00D70D43">
      <w:pPr>
        <w:tabs>
          <w:tab w:val="left" w:pos="0"/>
        </w:tabs>
        <w:spacing w:before="120"/>
        <w:contextualSpacing/>
        <w:jc w:val="both"/>
        <w:rPr>
          <w:rFonts w:ascii="Calibri" w:eastAsia="Times New Roman" w:hAnsi="Calibri" w:cs="Calibri"/>
        </w:rPr>
      </w:pPr>
      <w:r w:rsidRPr="00971330">
        <w:rPr>
          <w:rFonts w:ascii="Calibri" w:eastAsia="Times New Roman" w:hAnsi="Calibri" w:cs="Calibri"/>
          <w:b/>
        </w:rPr>
        <w:t xml:space="preserve">Procurement </w:t>
      </w:r>
    </w:p>
    <w:p w14:paraId="11BD3869" w14:textId="77777777" w:rsidR="00D70D43" w:rsidRPr="00971330" w:rsidRDefault="00D70D43" w:rsidP="00D70D43">
      <w:pPr>
        <w:rPr>
          <w:rFonts w:ascii="Calibri" w:eastAsia="Times New Roman" w:hAnsi="Calibri" w:cs="Calibri"/>
          <w:b/>
        </w:rPr>
      </w:pPr>
    </w:p>
    <w:p w14:paraId="2329DEA0" w14:textId="77777777" w:rsidR="00D70D43" w:rsidRDefault="00D70D43" w:rsidP="002E38A2">
      <w:pPr>
        <w:numPr>
          <w:ilvl w:val="0"/>
          <w:numId w:val="19"/>
        </w:numPr>
        <w:tabs>
          <w:tab w:val="left" w:pos="0"/>
        </w:tabs>
        <w:spacing w:before="120"/>
        <w:ind w:left="0" w:hanging="450"/>
        <w:contextualSpacing/>
        <w:jc w:val="both"/>
        <w:rPr>
          <w:rFonts w:ascii="Calibri" w:eastAsia="Times New Roman" w:hAnsi="Calibri" w:cs="Calibri"/>
        </w:rPr>
      </w:pPr>
      <w:r w:rsidRPr="00971330">
        <w:rPr>
          <w:rFonts w:ascii="Calibri" w:eastAsia="Times New Roman" w:hAnsi="Calibri" w:cs="Calibri"/>
          <w:b/>
        </w:rPr>
        <w:t xml:space="preserve">Institutional arrangement for procurement. </w:t>
      </w:r>
      <w:r w:rsidRPr="00971330">
        <w:rPr>
          <w:rFonts w:ascii="Calibri" w:eastAsia="Times New Roman" w:hAnsi="Calibri" w:cs="Calibri"/>
        </w:rPr>
        <w:t>The PIU hosted at EPA will carry out procurement function for the Project.</w:t>
      </w:r>
    </w:p>
    <w:p w14:paraId="184E68BC" w14:textId="77777777" w:rsidR="00D70D43" w:rsidRPr="00971330" w:rsidRDefault="00D70D43" w:rsidP="00D70D43">
      <w:pPr>
        <w:tabs>
          <w:tab w:val="left" w:pos="0"/>
        </w:tabs>
        <w:ind w:hanging="450"/>
        <w:contextualSpacing/>
        <w:jc w:val="both"/>
        <w:rPr>
          <w:rFonts w:ascii="Calibri" w:eastAsia="Times New Roman" w:hAnsi="Calibri" w:cs="Calibri"/>
        </w:rPr>
      </w:pPr>
    </w:p>
    <w:p w14:paraId="1314A826" w14:textId="77777777" w:rsidR="00D70D43" w:rsidRDefault="00D70D43" w:rsidP="002E38A2">
      <w:pPr>
        <w:numPr>
          <w:ilvl w:val="0"/>
          <w:numId w:val="19"/>
        </w:numPr>
        <w:tabs>
          <w:tab w:val="left" w:pos="0"/>
        </w:tabs>
        <w:ind w:left="0" w:hanging="446"/>
        <w:jc w:val="both"/>
        <w:rPr>
          <w:rFonts w:ascii="Calibri" w:eastAsia="Times New Roman" w:hAnsi="Calibri" w:cs="Calibri"/>
        </w:rPr>
      </w:pPr>
      <w:r w:rsidRPr="00971330">
        <w:rPr>
          <w:rFonts w:ascii="Calibri" w:eastAsia="Times New Roman" w:hAnsi="Calibri" w:cs="Calibri"/>
          <w:b/>
        </w:rPr>
        <w:t xml:space="preserve">Applicable procurement regulation. </w:t>
      </w:r>
      <w:r w:rsidRPr="00971330">
        <w:rPr>
          <w:rFonts w:ascii="Calibri" w:eastAsia="Times New Roman" w:hAnsi="Calibri" w:cs="Calibri"/>
        </w:rPr>
        <w:t xml:space="preserve">The procurement for the Project will be carried out, per the Procurement Framework, in accordance with the ‘World Bank Procurement Regulations for IPF </w:t>
      </w:r>
      <w:r w:rsidRPr="00971330">
        <w:rPr>
          <w:rFonts w:ascii="Calibri" w:eastAsia="Times New Roman" w:hAnsi="Calibri" w:cs="Calibri"/>
        </w:rPr>
        <w:lastRenderedPageBreak/>
        <w:t xml:space="preserve">Borrowers’ dated July 2016 (Procurement Regulations), revised November 2017 and August 2018 and the World Bank’s ‘Guidelines on Preventing and Combating Fraud and Corruption in Projects Financed by International Bank for Reconstruction and Development (IBRD) Loans and IDA Credits and Grants’ (revised as of July 1, 2016), as well as the provisions stipulated in the Financing Agreement.  The bidding documents to be used will be the Standard Procurement Documents recently enhanced with the Environment, Social Health and Safety. </w:t>
      </w:r>
    </w:p>
    <w:p w14:paraId="1A8387F5"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Risk Assessment. </w:t>
      </w:r>
      <w:r w:rsidRPr="00971330">
        <w:rPr>
          <w:rFonts w:ascii="Calibri" w:eastAsia="Times New Roman" w:hAnsi="Calibri" w:cs="Calibri"/>
        </w:rPr>
        <w:t xml:space="preserve">Procurement Capacity Assessment was carried out on November 26, 2018, in accordance with OCSPR guidelines and Procurement Risk Assessment and Management System (P-RAMS).  The assessment reviewed the organizational structure, functions, staff skills and experiences, and adequacy for implementing the Project.  The prior review thresholds have been set to reflect the assessment of the procurement risk rating.  The summary assessment of the procurement risk is HIGH for the Project and the prior review thresholds have been set to reflect this rating.  Procurement post-reviews and technical audits will be carried out annually by the Bank Procurement Specialist and Technical Specialist or independent auditors and based on the findings of the reviews the prior review thresholds will be reviewed.  The main risks identified are the following: (i) implementation of procurement transactions by multiple agencies; (ii) the possibility of procurement staff movements; (iii) the use of the Procurement Framework (PF). </w:t>
      </w:r>
    </w:p>
    <w:p w14:paraId="430386CA"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rPr>
        <w:t>The proposed mitigation measures will include: (i) the Borrower to provide adequate incentives to attract and maintain the existing procurement staff and to ensure effective coordination of procurement activities by the multiple implementing agencies; (ii) WB to organize and deliver training session for the staff on the Procurement Framework during the appraisal and immediately after, for effectiveness, with hands-on support to ensure proper and effective application of the Bank’s regulations; (iii) intensify training in Procurement and Contract Management by the Bank; and (iv) Supplement the efforts of the staff by hiring a procurement consultant to support them if the need arises.</w:t>
      </w:r>
    </w:p>
    <w:p w14:paraId="7956C37A"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Methods of procurement of goods and works. </w:t>
      </w:r>
      <w:r w:rsidRPr="00971330">
        <w:rPr>
          <w:rFonts w:ascii="Calibri" w:eastAsia="Times New Roman" w:hAnsi="Calibri" w:cs="Calibri"/>
        </w:rPr>
        <w:t xml:space="preserve">Goods and works and non-consulting services will be procured by using the Bank’s Standard Bidding Document (SBD) for all International Competitive Bidding (ICB). The Procurement Plan specifies the circumstances under which such methods may be used: (i) National Competitive Bidding (NCB); (ii) Shopping. Contracts for goods estimated to cost US$ 611,000 equivalent and above there is no contracts for works and non-consulting services. Goods procured under this </w:t>
      </w:r>
      <w:r>
        <w:rPr>
          <w:rFonts w:ascii="Calibri" w:eastAsia="Times New Roman" w:hAnsi="Calibri" w:cs="Calibri"/>
        </w:rPr>
        <w:t>P</w:t>
      </w:r>
      <w:r w:rsidRPr="00971330">
        <w:rPr>
          <w:rFonts w:ascii="Calibri" w:eastAsia="Times New Roman" w:hAnsi="Calibri" w:cs="Calibri"/>
        </w:rPr>
        <w:t xml:space="preserve">roject would be office motor vehicles, monitoring equipment for air, soil, water and other related aspects, office furniture, and office equipment. </w:t>
      </w:r>
    </w:p>
    <w:p w14:paraId="10962632"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Methods of procurement of Consultants. </w:t>
      </w:r>
      <w:r w:rsidRPr="00971330">
        <w:rPr>
          <w:rFonts w:ascii="Calibri" w:eastAsia="Times New Roman" w:hAnsi="Calibri" w:cs="Calibri"/>
        </w:rPr>
        <w:t xml:space="preserve">Except as otherwise provided in the paragraph below, consultants’ services will be procured under contracts awarded based on Quality and Cost-Based Selection (QCBS). The following list specifies selection methods other than QCBS which may be used for consultants’ services. The Procurement Plan will specify the circumstances under which such methods may be used: (i) Section based on the Consultant’s Qualifications (CQS); (ii) Individual Consultants (IC). </w:t>
      </w:r>
    </w:p>
    <w:p w14:paraId="6B43FDD7" w14:textId="77777777" w:rsidR="00D70D43" w:rsidRDefault="00D70D43" w:rsidP="002E38A2">
      <w:pPr>
        <w:numPr>
          <w:ilvl w:val="0"/>
          <w:numId w:val="19"/>
        </w:numPr>
        <w:tabs>
          <w:tab w:val="left" w:pos="0"/>
        </w:tabs>
        <w:ind w:left="0" w:hanging="450"/>
        <w:jc w:val="both"/>
        <w:rPr>
          <w:rFonts w:ascii="Calibri" w:eastAsia="Times New Roman" w:hAnsi="Calibri" w:cs="Calibri"/>
        </w:rPr>
      </w:pPr>
      <w:r w:rsidRPr="00971330">
        <w:rPr>
          <w:rFonts w:ascii="Calibri" w:eastAsia="Times New Roman" w:hAnsi="Calibri" w:cs="Calibri"/>
          <w:b/>
        </w:rPr>
        <w:t xml:space="preserve">Operating Costs. </w:t>
      </w:r>
      <w:r w:rsidRPr="00971330">
        <w:rPr>
          <w:rFonts w:ascii="Calibri" w:eastAsia="Times New Roman" w:hAnsi="Calibri" w:cs="Calibri"/>
        </w:rPr>
        <w:t>Operating expenditures are neither subject to the Procurement Framework nor prior or post reviews mechanism. Operating expenditures are normally verified by TTLs and FM Specialists.</w:t>
      </w:r>
    </w:p>
    <w:p w14:paraId="2A6E0B5B" w14:textId="77777777" w:rsidR="00D70D43" w:rsidRPr="001D0AC9" w:rsidRDefault="00D70D43" w:rsidP="002E38A2">
      <w:pPr>
        <w:numPr>
          <w:ilvl w:val="0"/>
          <w:numId w:val="19"/>
        </w:numPr>
        <w:tabs>
          <w:tab w:val="left" w:pos="0"/>
        </w:tabs>
        <w:ind w:left="0" w:hanging="450"/>
        <w:jc w:val="both"/>
        <w:rPr>
          <w:rFonts w:ascii="Calibri" w:eastAsia="Times New Roman" w:hAnsi="Calibri" w:cs="Calibri"/>
        </w:rPr>
      </w:pPr>
      <w:r w:rsidRPr="001D0AC9">
        <w:rPr>
          <w:rFonts w:ascii="Calibri" w:eastAsia="Times New Roman" w:hAnsi="Calibri" w:cs="Calibri"/>
          <w:b/>
        </w:rPr>
        <w:lastRenderedPageBreak/>
        <w:t>Procurement Plan.</w:t>
      </w:r>
      <w:r w:rsidRPr="001D0AC9">
        <w:rPr>
          <w:rFonts w:ascii="Calibri" w:eastAsia="Times New Roman" w:hAnsi="Calibri" w:cs="Calibri"/>
        </w:rPr>
        <w:t xml:space="preserve"> The Borrower has developed a Procurement Plan for project implementation which provides the basis for specifying the required procurement methods.  The final Plan will be submitted to the Bank before negotiations. Systematic Tracking of Exchanges in Procurement (STEP) will be the primary software or platform to be used to submit, review, and clear all Procurement Plans as well as post and prior review procurement activities. The Procurement Plan will be updated in agreement with the project team annually or as required to reflect the actual project implementation needs and improvements in institutional capacity. Details of Contract Packages to be procured under the </w:t>
      </w:r>
      <w:r>
        <w:rPr>
          <w:rFonts w:ascii="Calibri" w:eastAsia="Times New Roman" w:hAnsi="Calibri" w:cs="Calibri"/>
        </w:rPr>
        <w:t>P</w:t>
      </w:r>
      <w:r w:rsidRPr="001D0AC9">
        <w:rPr>
          <w:rFonts w:ascii="Calibri" w:eastAsia="Times New Roman" w:hAnsi="Calibri" w:cs="Calibri"/>
        </w:rPr>
        <w:t xml:space="preserve">roject will be finalized and submitted to the Bank before Negotiations. </w:t>
      </w:r>
    </w:p>
    <w:p w14:paraId="5AB66B69" w14:textId="77777777" w:rsidR="00D70D43" w:rsidRPr="00B8207E" w:rsidRDefault="00D70D43" w:rsidP="00D70D43">
      <w:pPr>
        <w:rPr>
          <w:rFonts w:eastAsia="Calibri" w:cstheme="minorHAnsi"/>
        </w:rPr>
      </w:pPr>
    </w:p>
    <w:p w14:paraId="234394AE" w14:textId="77777777" w:rsidR="00D70D43" w:rsidRPr="00B8207E" w:rsidRDefault="00D70D43" w:rsidP="002E38A2">
      <w:pPr>
        <w:pStyle w:val="Body0"/>
        <w:numPr>
          <w:ilvl w:val="0"/>
          <w:numId w:val="19"/>
        </w:numPr>
        <w:ind w:left="0" w:hanging="450"/>
        <w:rPr>
          <w:rFonts w:asciiTheme="minorHAnsi" w:hAnsiTheme="minorHAnsi"/>
          <w:sz w:val="22"/>
          <w:szCs w:val="22"/>
        </w:rPr>
      </w:pPr>
      <w:r w:rsidRPr="00B8207E">
        <w:rPr>
          <w:rFonts w:asciiTheme="minorHAnsi" w:hAnsiTheme="minorHAnsi"/>
          <w:b/>
          <w:sz w:val="22"/>
          <w:szCs w:val="22"/>
        </w:rPr>
        <w:t>Partner Ministries, Departments and Agencies (MDAs) and other for Implementation:</w:t>
      </w:r>
      <w:r w:rsidRPr="00B8207E">
        <w:rPr>
          <w:rFonts w:asciiTheme="minorHAnsi" w:hAnsiTheme="minorHAnsi"/>
          <w:sz w:val="22"/>
          <w:szCs w:val="22"/>
        </w:rPr>
        <w:t xml:space="preserve">  Relevant Sector Ministries, Agencies, Department/organizations that support AS</w:t>
      </w:r>
      <w:r>
        <w:rPr>
          <w:rFonts w:asciiTheme="minorHAnsi" w:hAnsiTheme="minorHAnsi"/>
          <w:sz w:val="22"/>
          <w:szCs w:val="22"/>
        </w:rPr>
        <w:t>G</w:t>
      </w:r>
      <w:r w:rsidRPr="00B8207E">
        <w:rPr>
          <w:rFonts w:asciiTheme="minorHAnsi" w:hAnsiTheme="minorHAnsi"/>
          <w:sz w:val="22"/>
          <w:szCs w:val="22"/>
        </w:rPr>
        <w:t>M sector and e-waste management in Ghana include:</w:t>
      </w:r>
    </w:p>
    <w:p w14:paraId="72ABA283" w14:textId="77777777" w:rsidR="00D70D43" w:rsidRPr="00B8207E" w:rsidRDefault="00D70D43" w:rsidP="002E38A2">
      <w:pPr>
        <w:pStyle w:val="Body"/>
        <w:numPr>
          <w:ilvl w:val="0"/>
          <w:numId w:val="14"/>
        </w:numPr>
        <w:contextualSpacing w:val="0"/>
        <w:rPr>
          <w:rFonts w:asciiTheme="minorHAnsi" w:hAnsiTheme="minorHAnsi"/>
          <w:b/>
          <w:sz w:val="22"/>
          <w:szCs w:val="22"/>
        </w:rPr>
      </w:pPr>
      <w:r w:rsidRPr="00B8207E">
        <w:rPr>
          <w:rFonts w:asciiTheme="minorHAnsi" w:hAnsiTheme="minorHAnsi"/>
          <w:b/>
          <w:i/>
          <w:sz w:val="22"/>
          <w:szCs w:val="22"/>
        </w:rPr>
        <w:t>Ministry of Environment Science Technology &amp; Innovation (MESTI):</w:t>
      </w:r>
      <w:r w:rsidRPr="00B8207E">
        <w:rPr>
          <w:rFonts w:asciiTheme="minorHAnsi" w:hAnsiTheme="minorHAnsi"/>
          <w:sz w:val="22"/>
          <w:szCs w:val="22"/>
        </w:rPr>
        <w:t xml:space="preserve"> MESTI will provide a coordination and monitoring role in the implementation of the project. </w:t>
      </w:r>
      <w:r>
        <w:rPr>
          <w:rFonts w:asciiTheme="minorHAnsi" w:hAnsiTheme="minorHAnsi"/>
          <w:sz w:val="22"/>
          <w:szCs w:val="22"/>
        </w:rPr>
        <w:t xml:space="preserve"> </w:t>
      </w:r>
      <w:r w:rsidRPr="00B8207E">
        <w:rPr>
          <w:rFonts w:asciiTheme="minorHAnsi" w:hAnsiTheme="minorHAnsi"/>
          <w:sz w:val="22"/>
          <w:szCs w:val="22"/>
        </w:rPr>
        <w:t xml:space="preserve">Generally, the </w:t>
      </w:r>
      <w:r>
        <w:rPr>
          <w:rFonts w:asciiTheme="minorHAnsi" w:hAnsiTheme="minorHAnsi"/>
          <w:sz w:val="22"/>
          <w:szCs w:val="22"/>
        </w:rPr>
        <w:t>M</w:t>
      </w:r>
      <w:r w:rsidRPr="00B8207E">
        <w:rPr>
          <w:rFonts w:asciiTheme="minorHAnsi" w:hAnsiTheme="minorHAnsi"/>
          <w:sz w:val="22"/>
          <w:szCs w:val="22"/>
        </w:rPr>
        <w:t xml:space="preserve">inistry is mandated to have oversight responsibility to provide leadership and guidance for Environment, Science, Technology and Innovation within the broad sector of the economy through sound policy formulation and implementation. </w:t>
      </w:r>
      <w:r>
        <w:rPr>
          <w:rFonts w:asciiTheme="minorHAnsi" w:hAnsiTheme="minorHAnsi"/>
          <w:sz w:val="22"/>
          <w:szCs w:val="22"/>
        </w:rPr>
        <w:t xml:space="preserve"> </w:t>
      </w:r>
      <w:r w:rsidRPr="00B8207E">
        <w:rPr>
          <w:rFonts w:asciiTheme="minorHAnsi" w:hAnsiTheme="minorHAnsi"/>
          <w:sz w:val="22"/>
          <w:szCs w:val="22"/>
        </w:rPr>
        <w:t xml:space="preserve">It ensures the establishment of the regulatory framework and setting of standards to govern the activities of science and technology and the management of the environment for sustainable development. </w:t>
      </w:r>
      <w:r>
        <w:rPr>
          <w:rFonts w:asciiTheme="minorHAnsi" w:hAnsiTheme="minorHAnsi"/>
          <w:sz w:val="22"/>
          <w:szCs w:val="22"/>
        </w:rPr>
        <w:t xml:space="preserve"> </w:t>
      </w:r>
      <w:r w:rsidRPr="00B8207E">
        <w:rPr>
          <w:rFonts w:asciiTheme="minorHAnsi" w:hAnsiTheme="minorHAnsi"/>
          <w:sz w:val="22"/>
          <w:szCs w:val="22"/>
        </w:rPr>
        <w:t xml:space="preserve">MESTI also has the responsibility to analyze and coordinate all planned programs in the environment, science, technology and innovation sector of the economy for purposes of achieving a single integrated management system. </w:t>
      </w:r>
      <w:r>
        <w:rPr>
          <w:rFonts w:asciiTheme="minorHAnsi" w:hAnsiTheme="minorHAnsi"/>
          <w:sz w:val="22"/>
          <w:szCs w:val="22"/>
        </w:rPr>
        <w:t xml:space="preserve"> </w:t>
      </w:r>
      <w:r w:rsidRPr="00B8207E">
        <w:rPr>
          <w:rFonts w:asciiTheme="minorHAnsi" w:hAnsiTheme="minorHAnsi"/>
          <w:sz w:val="22"/>
          <w:szCs w:val="22"/>
        </w:rPr>
        <w:t>MESTI is the sector Ministry to which the Environmental Protection Agency reports to.</w:t>
      </w:r>
      <w:r w:rsidRPr="00B8207E">
        <w:rPr>
          <w:rFonts w:asciiTheme="minorHAnsi" w:hAnsiTheme="minorHAnsi"/>
          <w:b/>
          <w:sz w:val="22"/>
          <w:szCs w:val="22"/>
        </w:rPr>
        <w:t xml:space="preserve"> </w:t>
      </w:r>
    </w:p>
    <w:p w14:paraId="3D866A7C"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Ministry of Lands and Natural Resources (MLNR):</w:t>
      </w:r>
      <w:r w:rsidRPr="00B8207E">
        <w:rPr>
          <w:rFonts w:asciiTheme="minorHAnsi" w:hAnsiTheme="minorHAnsi"/>
          <w:b/>
          <w:sz w:val="22"/>
          <w:szCs w:val="22"/>
        </w:rPr>
        <w:t xml:space="preserve"> </w:t>
      </w:r>
      <w:r w:rsidRPr="00B8207E">
        <w:rPr>
          <w:rFonts w:asciiTheme="minorHAnsi" w:hAnsiTheme="minorHAnsi"/>
          <w:sz w:val="22"/>
          <w:szCs w:val="22"/>
          <w:lang w:val="en-GB"/>
        </w:rPr>
        <w:t xml:space="preserve">MLNR is the lead implementing agency for the Ghana Forest Investment Program (FIP) - Enhancing Natural Forest and Agroforest Landscapes Project (P163745) </w:t>
      </w:r>
      <w:r w:rsidRPr="00B8207E">
        <w:rPr>
          <w:rFonts w:asciiTheme="minorHAnsi" w:hAnsiTheme="minorHAnsi"/>
          <w:bCs/>
          <w:sz w:val="22"/>
          <w:szCs w:val="22"/>
        </w:rPr>
        <w:t>has a dedicated team of technical staff responsible for the implementation of the project.</w:t>
      </w:r>
      <w:r w:rsidRPr="00B8207E">
        <w:rPr>
          <w:rFonts w:asciiTheme="minorHAnsi" w:hAnsiTheme="minorHAnsi"/>
          <w:sz w:val="22"/>
          <w:szCs w:val="22"/>
          <w:lang w:val="en-GB"/>
        </w:rPr>
        <w:t xml:space="preserve"> </w:t>
      </w:r>
      <w:r>
        <w:rPr>
          <w:rFonts w:asciiTheme="minorHAnsi" w:hAnsiTheme="minorHAnsi"/>
          <w:sz w:val="22"/>
          <w:szCs w:val="22"/>
          <w:lang w:val="en-GB"/>
        </w:rPr>
        <w:t xml:space="preserve"> </w:t>
      </w:r>
      <w:r w:rsidRPr="00B8207E">
        <w:rPr>
          <w:rFonts w:asciiTheme="minorHAnsi" w:hAnsiTheme="minorHAnsi"/>
          <w:sz w:val="22"/>
          <w:szCs w:val="22"/>
          <w:lang w:val="en-GB"/>
        </w:rPr>
        <w:t xml:space="preserve">MLNR will ensure effective coordination between EHPMP and the FIP project. </w:t>
      </w:r>
      <w:r>
        <w:rPr>
          <w:rFonts w:asciiTheme="minorHAnsi" w:hAnsiTheme="minorHAnsi"/>
          <w:sz w:val="22"/>
          <w:szCs w:val="22"/>
          <w:lang w:val="en-GB"/>
        </w:rPr>
        <w:t xml:space="preserve"> </w:t>
      </w:r>
      <w:r w:rsidRPr="00B8207E">
        <w:rPr>
          <w:rFonts w:asciiTheme="minorHAnsi" w:hAnsiTheme="minorHAnsi"/>
          <w:bCs/>
          <w:sz w:val="22"/>
          <w:szCs w:val="22"/>
        </w:rPr>
        <w:t>MLNR</w:t>
      </w:r>
      <w:r w:rsidRPr="00B8207E">
        <w:rPr>
          <w:rFonts w:asciiTheme="minorHAnsi" w:hAnsiTheme="minorHAnsi"/>
          <w:sz w:val="22"/>
          <w:szCs w:val="22"/>
        </w:rPr>
        <w:t xml:space="preserve"> has overall responsibility for the land and natural resources sector planning and policy direction and for monitoring sector programs towards the attainment of the national goals. </w:t>
      </w:r>
      <w:r>
        <w:rPr>
          <w:rFonts w:asciiTheme="minorHAnsi" w:hAnsiTheme="minorHAnsi"/>
          <w:sz w:val="22"/>
          <w:szCs w:val="22"/>
        </w:rPr>
        <w:t xml:space="preserve"> </w:t>
      </w:r>
      <w:r w:rsidRPr="00B8207E">
        <w:rPr>
          <w:rFonts w:asciiTheme="minorHAnsi" w:hAnsiTheme="minorHAnsi"/>
          <w:sz w:val="22"/>
          <w:szCs w:val="22"/>
        </w:rPr>
        <w:t>The ministry is thus responsible for the management of Ghana's land, forests, wildlife and mineral resources. MLNR is the sector Ministry to which the Minerals Commission reports to.</w:t>
      </w:r>
    </w:p>
    <w:p w14:paraId="68AFEA4A"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Ministry of Local Government and Rural Development (</w:t>
      </w:r>
      <w:proofErr w:type="spellStart"/>
      <w:r w:rsidRPr="00B8207E">
        <w:rPr>
          <w:rFonts w:asciiTheme="minorHAnsi" w:hAnsiTheme="minorHAnsi"/>
          <w:b/>
          <w:i/>
          <w:sz w:val="22"/>
          <w:szCs w:val="22"/>
        </w:rPr>
        <w:t>MoLGRD</w:t>
      </w:r>
      <w:proofErr w:type="spellEnd"/>
      <w:r w:rsidRPr="00B8207E">
        <w:rPr>
          <w:rFonts w:asciiTheme="minorHAnsi" w:hAnsiTheme="minorHAnsi"/>
          <w:b/>
          <w:i/>
          <w:sz w:val="22"/>
          <w:szCs w:val="22"/>
        </w:rPr>
        <w:t>):</w:t>
      </w:r>
      <w:r w:rsidRPr="00B8207E">
        <w:rPr>
          <w:rFonts w:asciiTheme="minorHAnsi" w:hAnsiTheme="minorHAnsi"/>
          <w:sz w:val="22"/>
          <w:szCs w:val="22"/>
        </w:rPr>
        <w:t xml:space="preserve">  </w:t>
      </w:r>
      <w:proofErr w:type="spellStart"/>
      <w:r w:rsidRPr="00B8207E">
        <w:rPr>
          <w:rFonts w:asciiTheme="minorHAnsi" w:hAnsiTheme="minorHAnsi"/>
          <w:sz w:val="22"/>
          <w:szCs w:val="22"/>
        </w:rPr>
        <w:t>MoLGRD</w:t>
      </w:r>
      <w:proofErr w:type="spellEnd"/>
      <w:r w:rsidRPr="00B8207E">
        <w:rPr>
          <w:rFonts w:asciiTheme="minorHAnsi" w:hAnsiTheme="minorHAnsi"/>
          <w:sz w:val="22"/>
          <w:szCs w:val="22"/>
        </w:rPr>
        <w:t xml:space="preserve"> will play a role in the engagement with </w:t>
      </w:r>
      <w:r w:rsidRPr="00B8207E">
        <w:rPr>
          <w:rFonts w:asciiTheme="minorHAnsi" w:hAnsiTheme="minorHAnsi"/>
          <w:sz w:val="22"/>
          <w:szCs w:val="22"/>
          <w:lang w:val="en-GB"/>
        </w:rPr>
        <w:t xml:space="preserve">Metropolitan and Municipal District Assemblies (MMDAs) in the selection of remediation sites and e-waste pilot areas. </w:t>
      </w:r>
    </w:p>
    <w:p w14:paraId="3FBC1185"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The Ministry of Trade &amp; Industry (MOTI):</w:t>
      </w:r>
      <w:r w:rsidRPr="00B8207E">
        <w:rPr>
          <w:rFonts w:asciiTheme="minorHAnsi" w:hAnsiTheme="minorHAnsi"/>
          <w:sz w:val="22"/>
          <w:szCs w:val="22"/>
        </w:rPr>
        <w:t xml:space="preserve"> MOTI will support activities as related to the trade of mercury and e-waste. </w:t>
      </w:r>
      <w:r>
        <w:rPr>
          <w:rFonts w:asciiTheme="minorHAnsi" w:hAnsiTheme="minorHAnsi"/>
          <w:sz w:val="22"/>
          <w:szCs w:val="22"/>
        </w:rPr>
        <w:t xml:space="preserve"> </w:t>
      </w:r>
      <w:r w:rsidRPr="00B8207E">
        <w:rPr>
          <w:rFonts w:asciiTheme="minorHAnsi" w:hAnsiTheme="minorHAnsi"/>
          <w:sz w:val="22"/>
          <w:szCs w:val="22"/>
        </w:rPr>
        <w:t xml:space="preserve">The Ministry is the lead policy advisor to government on trade, industrial and private sector development with responsibility for the formulation and implementation of policies for the promotion, growth and development of domestic and international trade and industry. </w:t>
      </w:r>
      <w:r>
        <w:rPr>
          <w:rFonts w:asciiTheme="minorHAnsi" w:hAnsiTheme="minorHAnsi"/>
          <w:sz w:val="22"/>
          <w:szCs w:val="22"/>
        </w:rPr>
        <w:t xml:space="preserve"> </w:t>
      </w:r>
      <w:r w:rsidRPr="00B8207E">
        <w:rPr>
          <w:rFonts w:asciiTheme="minorHAnsi" w:hAnsiTheme="minorHAnsi"/>
          <w:sz w:val="22"/>
          <w:szCs w:val="22"/>
        </w:rPr>
        <w:t xml:space="preserve">The Ministry is also the advocate for the private sector within government and is the </w:t>
      </w:r>
      <w:r w:rsidRPr="00B8207E">
        <w:rPr>
          <w:rFonts w:asciiTheme="minorHAnsi" w:hAnsiTheme="minorHAnsi"/>
          <w:sz w:val="22"/>
          <w:szCs w:val="22"/>
        </w:rPr>
        <w:lastRenderedPageBreak/>
        <w:t xml:space="preserve">principal agency responsible for monitoring and implementing the Government’s private sector development </w:t>
      </w:r>
      <w:proofErr w:type="spellStart"/>
      <w:r w:rsidRPr="00B8207E">
        <w:rPr>
          <w:rFonts w:asciiTheme="minorHAnsi" w:hAnsiTheme="minorHAnsi"/>
          <w:sz w:val="22"/>
          <w:szCs w:val="22"/>
        </w:rPr>
        <w:t>programmes</w:t>
      </w:r>
      <w:proofErr w:type="spellEnd"/>
      <w:r w:rsidRPr="00B8207E">
        <w:rPr>
          <w:rFonts w:asciiTheme="minorHAnsi" w:hAnsiTheme="minorHAnsi"/>
          <w:sz w:val="22"/>
          <w:szCs w:val="22"/>
        </w:rPr>
        <w:t xml:space="preserve"> and activities.</w:t>
      </w:r>
    </w:p>
    <w:p w14:paraId="2CF8DFBA" w14:textId="77777777" w:rsidR="00D70D43" w:rsidRPr="00B8207E" w:rsidRDefault="00D70D43" w:rsidP="002E38A2">
      <w:pPr>
        <w:pStyle w:val="Body"/>
        <w:numPr>
          <w:ilvl w:val="0"/>
          <w:numId w:val="14"/>
        </w:numPr>
        <w:contextualSpacing w:val="0"/>
        <w:rPr>
          <w:rFonts w:asciiTheme="minorHAnsi" w:hAnsiTheme="minorHAnsi"/>
          <w:sz w:val="22"/>
          <w:szCs w:val="22"/>
        </w:rPr>
      </w:pPr>
      <w:r w:rsidRPr="00B8207E">
        <w:rPr>
          <w:rFonts w:asciiTheme="minorHAnsi" w:hAnsiTheme="minorHAnsi"/>
          <w:b/>
          <w:i/>
          <w:sz w:val="22"/>
          <w:szCs w:val="22"/>
        </w:rPr>
        <w:t>Environmental Protection Agency (EPA):</w:t>
      </w:r>
      <w:r w:rsidRPr="00B8207E">
        <w:rPr>
          <w:rFonts w:asciiTheme="minorHAnsi" w:hAnsiTheme="minorHAnsi"/>
          <w:b/>
          <w:sz w:val="22"/>
          <w:szCs w:val="22"/>
        </w:rPr>
        <w:t xml:space="preserve"> </w:t>
      </w:r>
      <w:r w:rsidRPr="00B8207E">
        <w:rPr>
          <w:rFonts w:asciiTheme="minorHAnsi" w:hAnsiTheme="minorHAnsi"/>
          <w:sz w:val="22"/>
          <w:szCs w:val="22"/>
        </w:rPr>
        <w:t>EPA will be the lead Implementing Agency of the Project responsible for overall management, coordination and project reporting.</w:t>
      </w:r>
      <w:r>
        <w:rPr>
          <w:rFonts w:asciiTheme="minorHAnsi" w:hAnsiTheme="minorHAnsi"/>
          <w:sz w:val="22"/>
          <w:szCs w:val="22"/>
        </w:rPr>
        <w:t xml:space="preserve"> </w:t>
      </w:r>
      <w:r w:rsidRPr="00B8207E">
        <w:rPr>
          <w:rFonts w:asciiTheme="minorHAnsi" w:hAnsiTheme="minorHAnsi"/>
          <w:sz w:val="22"/>
          <w:szCs w:val="22"/>
        </w:rPr>
        <w:t xml:space="preserve"> EPA was established under the Environmental Protection Agency Act (Act 490 of 1994) as the leading public body responsible for the protection and improvement of the environment in Ghana. </w:t>
      </w:r>
      <w:r>
        <w:rPr>
          <w:rFonts w:asciiTheme="minorHAnsi" w:hAnsiTheme="minorHAnsi"/>
          <w:sz w:val="22"/>
          <w:szCs w:val="22"/>
        </w:rPr>
        <w:t xml:space="preserve"> </w:t>
      </w:r>
      <w:r w:rsidRPr="00B8207E">
        <w:rPr>
          <w:rFonts w:asciiTheme="minorHAnsi" w:hAnsiTheme="minorHAnsi"/>
          <w:sz w:val="22"/>
          <w:szCs w:val="22"/>
        </w:rPr>
        <w:t xml:space="preserve">It is responsible for enforcing environmental policy and legislation, prescribing standards and guidelines, inspecting and regulating businesses and responding to emergency incidents. </w:t>
      </w:r>
      <w:r>
        <w:rPr>
          <w:rFonts w:asciiTheme="minorHAnsi" w:hAnsiTheme="minorHAnsi"/>
          <w:sz w:val="22"/>
          <w:szCs w:val="22"/>
        </w:rPr>
        <w:t xml:space="preserve"> </w:t>
      </w:r>
      <w:r w:rsidRPr="00B8207E">
        <w:rPr>
          <w:rFonts w:asciiTheme="minorHAnsi" w:hAnsiTheme="minorHAnsi"/>
          <w:sz w:val="22"/>
          <w:szCs w:val="22"/>
        </w:rPr>
        <w:t xml:space="preserve">EPA </w:t>
      </w:r>
      <w:r w:rsidRPr="00B8207E">
        <w:rPr>
          <w:rFonts w:asciiTheme="minorHAnsi" w:hAnsiTheme="minorHAnsi"/>
          <w:sz w:val="22"/>
          <w:szCs w:val="22"/>
          <w:lang w:val="en-GB"/>
        </w:rPr>
        <w:t>will work closely with the MC, GHS and University of Mines and Technology (UMAT) on ASGM activities.</w:t>
      </w:r>
      <w:r w:rsidRPr="00B8207E">
        <w:rPr>
          <w:rFonts w:asciiTheme="minorHAnsi" w:hAnsiTheme="minorHAnsi"/>
          <w:sz w:val="22"/>
          <w:szCs w:val="22"/>
        </w:rPr>
        <w:t xml:space="preserve"> </w:t>
      </w:r>
      <w:r w:rsidRPr="00B8207E">
        <w:rPr>
          <w:rFonts w:asciiTheme="minorHAnsi" w:hAnsiTheme="minorHAnsi"/>
          <w:sz w:val="22"/>
          <w:szCs w:val="22"/>
          <w:lang w:val="en-GB"/>
        </w:rPr>
        <w:t>The EPA will work closely with the Metropolitan and Municipal District Assemblies (MMDAs) under the Ghana Ministry of Local Government and Rural Development (</w:t>
      </w:r>
      <w:proofErr w:type="spellStart"/>
      <w:r w:rsidRPr="00B8207E">
        <w:rPr>
          <w:rFonts w:asciiTheme="minorHAnsi" w:hAnsiTheme="minorHAnsi"/>
          <w:sz w:val="22"/>
          <w:szCs w:val="22"/>
          <w:lang w:val="en-GB"/>
        </w:rPr>
        <w:t>MoLGRD</w:t>
      </w:r>
      <w:proofErr w:type="spellEnd"/>
      <w:r w:rsidRPr="00B8207E">
        <w:rPr>
          <w:rFonts w:asciiTheme="minorHAnsi" w:hAnsiTheme="minorHAnsi"/>
          <w:sz w:val="22"/>
          <w:szCs w:val="22"/>
          <w:lang w:val="en-GB"/>
        </w:rPr>
        <w:t xml:space="preserve">) MOTI and GSA for regulating and monitoring the country’s e-waste management. </w:t>
      </w:r>
    </w:p>
    <w:p w14:paraId="62ABB630" w14:textId="77777777" w:rsidR="00D70D43" w:rsidRPr="00B8207E" w:rsidRDefault="00D70D43" w:rsidP="002E38A2">
      <w:pPr>
        <w:pStyle w:val="Body"/>
        <w:numPr>
          <w:ilvl w:val="0"/>
          <w:numId w:val="14"/>
        </w:numPr>
        <w:contextualSpacing w:val="0"/>
        <w:rPr>
          <w:rFonts w:asciiTheme="minorHAnsi" w:hAnsiTheme="minorHAnsi"/>
          <w:sz w:val="22"/>
          <w:szCs w:val="22"/>
        </w:rPr>
      </w:pPr>
      <w:r>
        <w:rPr>
          <w:rFonts w:asciiTheme="minorHAnsi" w:hAnsiTheme="minorHAnsi"/>
          <w:b/>
          <w:i/>
          <w:sz w:val="22"/>
          <w:szCs w:val="22"/>
        </w:rPr>
        <w:t>M</w:t>
      </w:r>
      <w:r w:rsidRPr="00B8207E">
        <w:rPr>
          <w:rFonts w:asciiTheme="minorHAnsi" w:hAnsiTheme="minorHAnsi"/>
          <w:b/>
          <w:i/>
          <w:sz w:val="22"/>
          <w:szCs w:val="22"/>
        </w:rPr>
        <w:t>inerals Commission (MC):</w:t>
      </w:r>
      <w:r w:rsidRPr="00B8207E">
        <w:rPr>
          <w:rFonts w:asciiTheme="minorHAnsi" w:hAnsiTheme="minorHAnsi"/>
          <w:sz w:val="22"/>
          <w:szCs w:val="22"/>
        </w:rPr>
        <w:t xml:space="preserve"> MC is an implementing agency for the proposed </w:t>
      </w:r>
      <w:r w:rsidRPr="00B8207E">
        <w:rPr>
          <w:rFonts w:asciiTheme="minorHAnsi" w:hAnsiTheme="minorHAnsi"/>
          <w:sz w:val="22"/>
          <w:szCs w:val="22"/>
          <w:lang w:val="en-GB"/>
        </w:rPr>
        <w:t>Artisanal and Small-Scale Mining Formalization (P168002) and will ensure effective coordination between EHPMP and the AS</w:t>
      </w:r>
      <w:r>
        <w:rPr>
          <w:rFonts w:asciiTheme="minorHAnsi" w:hAnsiTheme="minorHAnsi"/>
          <w:sz w:val="22"/>
          <w:szCs w:val="22"/>
          <w:lang w:val="en-GB"/>
        </w:rPr>
        <w:t>G</w:t>
      </w:r>
      <w:r w:rsidRPr="00B8207E">
        <w:rPr>
          <w:rFonts w:asciiTheme="minorHAnsi" w:hAnsiTheme="minorHAnsi"/>
          <w:sz w:val="22"/>
          <w:szCs w:val="22"/>
          <w:lang w:val="en-GB"/>
        </w:rPr>
        <w:t xml:space="preserve">M formalization project. </w:t>
      </w:r>
      <w:r>
        <w:rPr>
          <w:rFonts w:asciiTheme="minorHAnsi" w:hAnsiTheme="minorHAnsi"/>
          <w:sz w:val="22"/>
          <w:szCs w:val="22"/>
          <w:lang w:val="en-GB"/>
        </w:rPr>
        <w:t xml:space="preserve"> </w:t>
      </w:r>
      <w:r w:rsidRPr="00B8207E">
        <w:rPr>
          <w:rFonts w:asciiTheme="minorHAnsi" w:hAnsiTheme="minorHAnsi"/>
          <w:sz w:val="22"/>
          <w:szCs w:val="22"/>
          <w:lang w:val="en-GB"/>
        </w:rPr>
        <w:t>The</w:t>
      </w:r>
      <w:r w:rsidRPr="00B8207E">
        <w:rPr>
          <w:rFonts w:asciiTheme="minorHAnsi" w:hAnsiTheme="minorHAnsi"/>
          <w:sz w:val="22"/>
          <w:szCs w:val="22"/>
        </w:rPr>
        <w:t xml:space="preserve"> Commission was established under Article 269 of the 1992 Constitution and the </w:t>
      </w:r>
      <w:r w:rsidRPr="0025658D">
        <w:rPr>
          <w:rFonts w:asciiTheme="minorHAnsi" w:hAnsiTheme="minorHAnsi"/>
          <w:i/>
          <w:sz w:val="22"/>
          <w:szCs w:val="22"/>
        </w:rPr>
        <w:t>Minerals Commission Act</w:t>
      </w:r>
      <w:r>
        <w:rPr>
          <w:rFonts w:asciiTheme="minorHAnsi" w:hAnsiTheme="minorHAnsi"/>
          <w:i/>
          <w:sz w:val="22"/>
          <w:szCs w:val="22"/>
        </w:rPr>
        <w:t>,</w:t>
      </w:r>
      <w:r w:rsidRPr="0025658D">
        <w:rPr>
          <w:rFonts w:asciiTheme="minorHAnsi" w:hAnsiTheme="minorHAnsi"/>
          <w:i/>
          <w:sz w:val="22"/>
          <w:szCs w:val="22"/>
        </w:rPr>
        <w:t xml:space="preserve"> </w:t>
      </w:r>
      <w:r w:rsidRPr="00B8207E">
        <w:rPr>
          <w:rFonts w:asciiTheme="minorHAnsi" w:hAnsiTheme="minorHAnsi"/>
          <w:sz w:val="22"/>
          <w:szCs w:val="22"/>
        </w:rPr>
        <w:t xml:space="preserve">1993 </w:t>
      </w:r>
      <w:r>
        <w:rPr>
          <w:rFonts w:asciiTheme="minorHAnsi" w:hAnsiTheme="minorHAnsi"/>
          <w:sz w:val="22"/>
          <w:szCs w:val="22"/>
        </w:rPr>
        <w:t>(</w:t>
      </w:r>
      <w:r w:rsidRPr="00B8207E">
        <w:rPr>
          <w:rFonts w:asciiTheme="minorHAnsi" w:hAnsiTheme="minorHAnsi"/>
          <w:sz w:val="22"/>
          <w:szCs w:val="22"/>
        </w:rPr>
        <w:t>Act 450</w:t>
      </w:r>
      <w:r>
        <w:rPr>
          <w:rFonts w:asciiTheme="minorHAnsi" w:hAnsiTheme="minorHAnsi"/>
          <w:sz w:val="22"/>
          <w:szCs w:val="22"/>
        </w:rPr>
        <w:t>)</w:t>
      </w:r>
      <w:r w:rsidRPr="00B8207E">
        <w:rPr>
          <w:rFonts w:asciiTheme="minorHAnsi" w:hAnsiTheme="minorHAnsi"/>
          <w:sz w:val="22"/>
          <w:szCs w:val="22"/>
        </w:rPr>
        <w:t xml:space="preserve">. It is the main promotional and regulatory body for the minerals sector in Ghana and responsible for “the regulation and management of the utilization of the mineral resources of Ghana and the coordination and implementation of policies relating to mining”. </w:t>
      </w:r>
      <w:r>
        <w:rPr>
          <w:rFonts w:asciiTheme="minorHAnsi" w:hAnsiTheme="minorHAnsi"/>
          <w:sz w:val="22"/>
          <w:szCs w:val="22"/>
        </w:rPr>
        <w:t xml:space="preserve"> </w:t>
      </w:r>
      <w:r w:rsidRPr="00B8207E">
        <w:rPr>
          <w:rFonts w:asciiTheme="minorHAnsi" w:hAnsiTheme="minorHAnsi"/>
          <w:sz w:val="22"/>
          <w:szCs w:val="22"/>
        </w:rPr>
        <w:t>It ensures compliance with Ghana’s Mining and Mineral Laws and Regulation through effective monitoring.</w:t>
      </w:r>
    </w:p>
    <w:p w14:paraId="7079448C" w14:textId="77777777" w:rsidR="00D70D43" w:rsidRPr="00B8207E" w:rsidRDefault="00D70D43" w:rsidP="002E38A2">
      <w:pPr>
        <w:pStyle w:val="Body"/>
        <w:numPr>
          <w:ilvl w:val="0"/>
          <w:numId w:val="14"/>
        </w:numPr>
        <w:contextualSpacing w:val="0"/>
        <w:rPr>
          <w:rFonts w:asciiTheme="minorHAnsi" w:hAnsiTheme="minorHAnsi"/>
          <w:bCs/>
          <w:sz w:val="22"/>
          <w:szCs w:val="22"/>
        </w:rPr>
      </w:pPr>
      <w:r w:rsidRPr="00B8207E">
        <w:rPr>
          <w:rFonts w:asciiTheme="minorHAnsi" w:hAnsiTheme="minorHAnsi"/>
          <w:b/>
          <w:bCs/>
          <w:i/>
          <w:sz w:val="22"/>
          <w:szCs w:val="22"/>
        </w:rPr>
        <w:t>Forestry Commission (FC):</w:t>
      </w:r>
      <w:r w:rsidRPr="00B8207E">
        <w:rPr>
          <w:rFonts w:asciiTheme="minorHAnsi" w:hAnsiTheme="minorHAnsi"/>
          <w:b/>
          <w:bCs/>
          <w:sz w:val="22"/>
          <w:szCs w:val="22"/>
        </w:rPr>
        <w:t xml:space="preserve"> </w:t>
      </w:r>
      <w:r w:rsidRPr="00B8207E">
        <w:rPr>
          <w:rFonts w:asciiTheme="minorHAnsi" w:hAnsiTheme="minorHAnsi"/>
          <w:bCs/>
          <w:sz w:val="22"/>
          <w:szCs w:val="22"/>
        </w:rPr>
        <w:t>FC will provide technical support in the selection of pilot sites for remediation</w:t>
      </w:r>
      <w:r w:rsidRPr="00B8207E">
        <w:rPr>
          <w:rFonts w:asciiTheme="minorHAnsi" w:hAnsiTheme="minorHAnsi"/>
          <w:b/>
          <w:bCs/>
          <w:sz w:val="22"/>
          <w:szCs w:val="22"/>
        </w:rPr>
        <w:t>.</w:t>
      </w:r>
      <w:r w:rsidRPr="00B8207E">
        <w:rPr>
          <w:rFonts w:asciiTheme="minorHAnsi" w:hAnsiTheme="minorHAnsi"/>
          <w:bCs/>
          <w:sz w:val="22"/>
          <w:szCs w:val="22"/>
        </w:rPr>
        <w:t xml:space="preserve"> </w:t>
      </w:r>
      <w:r>
        <w:rPr>
          <w:rFonts w:asciiTheme="minorHAnsi" w:hAnsiTheme="minorHAnsi"/>
          <w:bCs/>
          <w:sz w:val="22"/>
          <w:szCs w:val="22"/>
        </w:rPr>
        <w:t xml:space="preserve"> </w:t>
      </w:r>
      <w:r w:rsidRPr="00B8207E">
        <w:rPr>
          <w:rFonts w:asciiTheme="minorHAnsi" w:hAnsiTheme="minorHAnsi"/>
          <w:bCs/>
          <w:sz w:val="22"/>
          <w:szCs w:val="22"/>
        </w:rPr>
        <w:t>FC</w:t>
      </w:r>
      <w:r w:rsidRPr="00B8207E">
        <w:rPr>
          <w:rFonts w:asciiTheme="minorHAnsi" w:hAnsiTheme="minorHAnsi"/>
          <w:b/>
          <w:bCs/>
          <w:sz w:val="22"/>
          <w:szCs w:val="22"/>
        </w:rPr>
        <w:t xml:space="preserve"> </w:t>
      </w:r>
      <w:r w:rsidRPr="00B8207E">
        <w:rPr>
          <w:rFonts w:asciiTheme="minorHAnsi" w:hAnsiTheme="minorHAnsi"/>
          <w:bCs/>
          <w:sz w:val="22"/>
          <w:szCs w:val="22"/>
        </w:rPr>
        <w:t>is the implementation arm of MLNR responsible for regulation, control and management of forest resources</w:t>
      </w:r>
    </w:p>
    <w:p w14:paraId="7747AB63" w14:textId="77777777" w:rsidR="00D70D43" w:rsidRPr="00B8207E" w:rsidRDefault="00D70D43" w:rsidP="002E38A2">
      <w:pPr>
        <w:pStyle w:val="Body"/>
        <w:numPr>
          <w:ilvl w:val="0"/>
          <w:numId w:val="14"/>
        </w:numPr>
        <w:contextualSpacing w:val="0"/>
        <w:rPr>
          <w:rFonts w:asciiTheme="minorHAnsi" w:hAnsiTheme="minorHAnsi"/>
          <w:bCs/>
          <w:sz w:val="22"/>
          <w:szCs w:val="22"/>
        </w:rPr>
      </w:pPr>
      <w:r w:rsidRPr="00B8207E">
        <w:rPr>
          <w:rFonts w:asciiTheme="minorHAnsi" w:hAnsiTheme="minorHAnsi"/>
          <w:b/>
          <w:bCs/>
          <w:i/>
          <w:sz w:val="22"/>
          <w:szCs w:val="22"/>
        </w:rPr>
        <w:t>Ghana Health Service (GHS):</w:t>
      </w:r>
      <w:r w:rsidRPr="00B8207E">
        <w:rPr>
          <w:rFonts w:asciiTheme="minorHAnsi" w:hAnsiTheme="minorHAnsi"/>
          <w:bCs/>
          <w:sz w:val="22"/>
          <w:szCs w:val="22"/>
        </w:rPr>
        <w:t xml:space="preserve"> GHS will support activities relating to awareness creation on the health effect of mercury </w:t>
      </w:r>
      <w:r>
        <w:rPr>
          <w:rFonts w:asciiTheme="minorHAnsi" w:hAnsiTheme="minorHAnsi"/>
          <w:bCs/>
          <w:sz w:val="22"/>
          <w:szCs w:val="22"/>
        </w:rPr>
        <w:t xml:space="preserve">and mismanaged e-waste </w:t>
      </w:r>
      <w:r w:rsidRPr="00B8207E">
        <w:rPr>
          <w:rFonts w:asciiTheme="minorHAnsi" w:hAnsiTheme="minorHAnsi"/>
          <w:bCs/>
          <w:sz w:val="22"/>
          <w:szCs w:val="22"/>
        </w:rPr>
        <w:t xml:space="preserve">and the development of health sector actions plan. </w:t>
      </w:r>
    </w:p>
    <w:p w14:paraId="1386F0F9" w14:textId="77777777" w:rsidR="00D70D43" w:rsidRPr="00B8207E" w:rsidRDefault="00D70D43" w:rsidP="002E38A2">
      <w:pPr>
        <w:pStyle w:val="ListParagraph"/>
        <w:widowControl w:val="0"/>
        <w:numPr>
          <w:ilvl w:val="0"/>
          <w:numId w:val="14"/>
        </w:numPr>
        <w:autoSpaceDE w:val="0"/>
        <w:autoSpaceDN w:val="0"/>
        <w:adjustRightInd w:val="0"/>
        <w:contextualSpacing w:val="0"/>
        <w:jc w:val="both"/>
        <w:rPr>
          <w:rFonts w:cstheme="minorHAnsi"/>
          <w:bCs/>
        </w:rPr>
      </w:pPr>
      <w:r w:rsidRPr="00B8207E">
        <w:rPr>
          <w:rFonts w:cstheme="minorHAnsi"/>
          <w:b/>
          <w:bCs/>
          <w:i/>
        </w:rPr>
        <w:t>Ghana Standard Authority:</w:t>
      </w:r>
      <w:r w:rsidRPr="00B8207E">
        <w:rPr>
          <w:rFonts w:cstheme="minorHAnsi"/>
          <w:bCs/>
        </w:rPr>
        <w:t xml:space="preserve"> GS</w:t>
      </w:r>
      <w:r>
        <w:rPr>
          <w:rFonts w:cstheme="minorHAnsi"/>
          <w:bCs/>
        </w:rPr>
        <w:t>A</w:t>
      </w:r>
      <w:r w:rsidRPr="00B8207E">
        <w:rPr>
          <w:rFonts w:cstheme="minorHAnsi"/>
          <w:bCs/>
        </w:rPr>
        <w:t xml:space="preserve"> is the agency responsible for the maintenance of acceptable standards for product and services and sound management practices in industries and public institutions in Ghana.</w:t>
      </w:r>
      <w:r>
        <w:rPr>
          <w:rFonts w:cstheme="minorHAnsi"/>
          <w:bCs/>
        </w:rPr>
        <w:t xml:space="preserve"> </w:t>
      </w:r>
      <w:r w:rsidRPr="00B8207E">
        <w:rPr>
          <w:rFonts w:cstheme="minorHAnsi"/>
          <w:bCs/>
        </w:rPr>
        <w:t xml:space="preserve"> The </w:t>
      </w:r>
      <w:r>
        <w:rPr>
          <w:rFonts w:cstheme="minorHAnsi"/>
          <w:bCs/>
        </w:rPr>
        <w:t>A</w:t>
      </w:r>
      <w:r w:rsidRPr="00B8207E">
        <w:rPr>
          <w:rFonts w:cstheme="minorHAnsi"/>
          <w:bCs/>
        </w:rPr>
        <w:t>uthority is responsible for the development, maintenance and dissemination of Standards for electrotechnical products.</w:t>
      </w:r>
    </w:p>
    <w:p w14:paraId="3AD74B9C" w14:textId="77777777" w:rsidR="00D70D43" w:rsidRPr="00B8207E" w:rsidRDefault="00D70D43" w:rsidP="002E38A2">
      <w:pPr>
        <w:pStyle w:val="Body"/>
        <w:numPr>
          <w:ilvl w:val="0"/>
          <w:numId w:val="14"/>
        </w:numPr>
        <w:contextualSpacing w:val="0"/>
        <w:rPr>
          <w:rFonts w:asciiTheme="minorHAnsi" w:hAnsiTheme="minorHAnsi"/>
          <w:bCs/>
          <w:sz w:val="22"/>
          <w:szCs w:val="22"/>
        </w:rPr>
      </w:pPr>
      <w:r w:rsidRPr="00B8207E">
        <w:rPr>
          <w:rFonts w:asciiTheme="minorHAnsi" w:hAnsiTheme="minorHAnsi"/>
          <w:b/>
          <w:bCs/>
          <w:i/>
          <w:sz w:val="22"/>
          <w:szCs w:val="22"/>
        </w:rPr>
        <w:t>Metropolitan, Municipal and District Assemblies (MMDAs):</w:t>
      </w:r>
      <w:r w:rsidRPr="00B8207E">
        <w:rPr>
          <w:rFonts w:asciiTheme="minorHAnsi" w:hAnsiTheme="minorHAnsi"/>
          <w:bCs/>
          <w:i/>
          <w:sz w:val="22"/>
          <w:szCs w:val="22"/>
          <w:u w:val="single"/>
        </w:rPr>
        <w:t xml:space="preserve"> </w:t>
      </w:r>
      <w:r w:rsidRPr="00B8207E">
        <w:rPr>
          <w:rFonts w:asciiTheme="minorHAnsi" w:hAnsiTheme="minorHAnsi"/>
          <w:bCs/>
          <w:sz w:val="22"/>
          <w:szCs w:val="22"/>
        </w:rPr>
        <w:t xml:space="preserve">MMDAs are responsible for administering the </w:t>
      </w:r>
      <w:r w:rsidRPr="0025658D">
        <w:rPr>
          <w:rFonts w:asciiTheme="minorHAnsi" w:hAnsiTheme="minorHAnsi"/>
          <w:bCs/>
          <w:i/>
          <w:sz w:val="22"/>
          <w:szCs w:val="22"/>
        </w:rPr>
        <w:t>Local Governance Act</w:t>
      </w:r>
      <w:r w:rsidRPr="00B8207E">
        <w:rPr>
          <w:rFonts w:asciiTheme="minorHAnsi" w:hAnsiTheme="minorHAnsi"/>
          <w:bCs/>
          <w:sz w:val="22"/>
          <w:szCs w:val="22"/>
        </w:rPr>
        <w:t xml:space="preserve"> of 2016</w:t>
      </w:r>
      <w:r>
        <w:rPr>
          <w:rFonts w:asciiTheme="minorHAnsi" w:hAnsiTheme="minorHAnsi"/>
          <w:bCs/>
          <w:sz w:val="22"/>
          <w:szCs w:val="22"/>
        </w:rPr>
        <w:t xml:space="preserve"> (</w:t>
      </w:r>
      <w:r w:rsidRPr="00B8207E">
        <w:rPr>
          <w:rFonts w:asciiTheme="minorHAnsi" w:hAnsiTheme="minorHAnsi"/>
          <w:bCs/>
          <w:sz w:val="22"/>
          <w:szCs w:val="22"/>
        </w:rPr>
        <w:t>Act 936</w:t>
      </w:r>
      <w:r>
        <w:rPr>
          <w:rFonts w:asciiTheme="minorHAnsi" w:hAnsiTheme="minorHAnsi"/>
          <w:bCs/>
          <w:sz w:val="22"/>
          <w:szCs w:val="22"/>
        </w:rPr>
        <w:t>)</w:t>
      </w:r>
      <w:r w:rsidRPr="00B8207E">
        <w:rPr>
          <w:rFonts w:asciiTheme="minorHAnsi" w:hAnsiTheme="minorHAnsi"/>
          <w:bCs/>
          <w:sz w:val="22"/>
          <w:szCs w:val="22"/>
        </w:rPr>
        <w:t xml:space="preserve">. </w:t>
      </w:r>
      <w:r>
        <w:rPr>
          <w:rFonts w:asciiTheme="minorHAnsi" w:hAnsiTheme="minorHAnsi"/>
          <w:bCs/>
          <w:sz w:val="22"/>
          <w:szCs w:val="22"/>
        </w:rPr>
        <w:t xml:space="preserve"> </w:t>
      </w:r>
      <w:r w:rsidRPr="00B8207E">
        <w:rPr>
          <w:rFonts w:asciiTheme="minorHAnsi" w:hAnsiTheme="minorHAnsi"/>
          <w:bCs/>
          <w:sz w:val="22"/>
          <w:szCs w:val="22"/>
        </w:rPr>
        <w:t xml:space="preserve">The MMDAs have the ultimate role to seek the necessary approvals and implement the district’s development plan. </w:t>
      </w:r>
      <w:r>
        <w:rPr>
          <w:rFonts w:asciiTheme="minorHAnsi" w:hAnsiTheme="minorHAnsi"/>
          <w:bCs/>
          <w:sz w:val="22"/>
          <w:szCs w:val="22"/>
        </w:rPr>
        <w:t xml:space="preserve"> </w:t>
      </w:r>
      <w:r w:rsidRPr="00B8207E">
        <w:rPr>
          <w:rFonts w:asciiTheme="minorHAnsi" w:hAnsiTheme="minorHAnsi"/>
          <w:bCs/>
          <w:sz w:val="22"/>
          <w:szCs w:val="22"/>
        </w:rPr>
        <w:t>MMDAs have the responsibility for ensuring proper waste management</w:t>
      </w:r>
      <w:r>
        <w:rPr>
          <w:rFonts w:asciiTheme="minorHAnsi" w:hAnsiTheme="minorHAnsi"/>
          <w:bCs/>
          <w:sz w:val="22"/>
          <w:szCs w:val="22"/>
        </w:rPr>
        <w:t>, including electronic wastes (i.e. e-wastes)</w:t>
      </w:r>
      <w:r w:rsidRPr="00B8207E">
        <w:rPr>
          <w:rFonts w:asciiTheme="minorHAnsi" w:hAnsiTheme="minorHAnsi"/>
          <w:bCs/>
          <w:sz w:val="22"/>
          <w:szCs w:val="22"/>
        </w:rPr>
        <w:t xml:space="preserve">. </w:t>
      </w:r>
    </w:p>
    <w:p w14:paraId="707C80A0" w14:textId="77777777" w:rsidR="00D70D43" w:rsidRPr="00B8207E" w:rsidRDefault="00D70D43" w:rsidP="002E38A2">
      <w:pPr>
        <w:pStyle w:val="Body"/>
        <w:numPr>
          <w:ilvl w:val="0"/>
          <w:numId w:val="14"/>
        </w:numPr>
        <w:contextualSpacing w:val="0"/>
        <w:rPr>
          <w:rFonts w:asciiTheme="minorHAnsi" w:hAnsiTheme="minorHAnsi"/>
          <w:b/>
          <w:sz w:val="22"/>
          <w:szCs w:val="22"/>
        </w:rPr>
      </w:pPr>
      <w:r w:rsidRPr="00B8207E">
        <w:rPr>
          <w:rFonts w:asciiTheme="minorHAnsi" w:hAnsiTheme="minorHAnsi"/>
          <w:b/>
          <w:i/>
          <w:sz w:val="22"/>
          <w:szCs w:val="22"/>
        </w:rPr>
        <w:t>University of Mines and Technology (UMAT):</w:t>
      </w:r>
      <w:r w:rsidRPr="00B8207E">
        <w:rPr>
          <w:rFonts w:asciiTheme="minorHAnsi" w:hAnsiTheme="minorHAnsi"/>
          <w:b/>
          <w:sz w:val="22"/>
          <w:szCs w:val="22"/>
        </w:rPr>
        <w:t xml:space="preserve">  </w:t>
      </w:r>
      <w:r w:rsidRPr="00B8207E">
        <w:rPr>
          <w:rFonts w:asciiTheme="minorHAnsi" w:hAnsiTheme="minorHAnsi"/>
          <w:sz w:val="22"/>
          <w:szCs w:val="22"/>
        </w:rPr>
        <w:t>UMAT is also considered as an</w:t>
      </w:r>
      <w:r w:rsidRPr="00B8207E">
        <w:rPr>
          <w:rFonts w:asciiTheme="minorHAnsi" w:hAnsiTheme="minorHAnsi"/>
          <w:b/>
          <w:sz w:val="22"/>
          <w:szCs w:val="22"/>
        </w:rPr>
        <w:t xml:space="preserve"> </w:t>
      </w:r>
      <w:r w:rsidRPr="00B8207E">
        <w:rPr>
          <w:rFonts w:asciiTheme="minorHAnsi" w:hAnsiTheme="minorHAnsi"/>
          <w:sz w:val="22"/>
          <w:szCs w:val="22"/>
        </w:rPr>
        <w:t>implementing agency for the proposed</w:t>
      </w:r>
      <w:r w:rsidRPr="00B8207E">
        <w:rPr>
          <w:rFonts w:asciiTheme="minorHAnsi" w:hAnsiTheme="minorHAnsi"/>
          <w:sz w:val="22"/>
          <w:szCs w:val="22"/>
          <w:lang w:val="en-GB"/>
        </w:rPr>
        <w:t xml:space="preserve"> AS</w:t>
      </w:r>
      <w:r>
        <w:rPr>
          <w:rFonts w:asciiTheme="minorHAnsi" w:hAnsiTheme="minorHAnsi"/>
          <w:sz w:val="22"/>
          <w:szCs w:val="22"/>
          <w:lang w:val="en-GB"/>
        </w:rPr>
        <w:t>G</w:t>
      </w:r>
      <w:r w:rsidRPr="00B8207E">
        <w:rPr>
          <w:rFonts w:asciiTheme="minorHAnsi" w:hAnsiTheme="minorHAnsi"/>
          <w:sz w:val="22"/>
          <w:szCs w:val="22"/>
          <w:lang w:val="en-GB"/>
        </w:rPr>
        <w:t xml:space="preserve">M formalization project that will lead activities on the development of a mining demonstration </w:t>
      </w:r>
      <w:proofErr w:type="spellStart"/>
      <w:r w:rsidRPr="00B8207E">
        <w:rPr>
          <w:rFonts w:asciiTheme="minorHAnsi" w:hAnsiTheme="minorHAnsi"/>
          <w:sz w:val="22"/>
          <w:szCs w:val="22"/>
          <w:lang w:val="en-GB"/>
        </w:rPr>
        <w:t>center</w:t>
      </w:r>
      <w:proofErr w:type="spellEnd"/>
      <w:r w:rsidRPr="00B8207E">
        <w:rPr>
          <w:rFonts w:asciiTheme="minorHAnsi" w:hAnsiTheme="minorHAnsi"/>
          <w:sz w:val="22"/>
          <w:szCs w:val="22"/>
          <w:lang w:val="en-GB"/>
        </w:rPr>
        <w:t xml:space="preserve">.  The demonstration </w:t>
      </w:r>
      <w:proofErr w:type="spellStart"/>
      <w:r w:rsidRPr="00B8207E">
        <w:rPr>
          <w:rFonts w:asciiTheme="minorHAnsi" w:hAnsiTheme="minorHAnsi"/>
          <w:sz w:val="22"/>
          <w:szCs w:val="22"/>
          <w:lang w:val="en-GB"/>
        </w:rPr>
        <w:t>center</w:t>
      </w:r>
      <w:proofErr w:type="spellEnd"/>
      <w:r w:rsidRPr="00B8207E">
        <w:rPr>
          <w:rFonts w:asciiTheme="minorHAnsi" w:hAnsiTheme="minorHAnsi"/>
          <w:sz w:val="22"/>
          <w:szCs w:val="22"/>
          <w:lang w:val="en-GB"/>
        </w:rPr>
        <w:t xml:space="preserve"> will serve for the purpose of </w:t>
      </w:r>
      <w:r>
        <w:rPr>
          <w:rFonts w:asciiTheme="minorHAnsi" w:hAnsiTheme="minorHAnsi"/>
          <w:sz w:val="22"/>
          <w:szCs w:val="22"/>
          <w:lang w:val="en-GB"/>
        </w:rPr>
        <w:t>training</w:t>
      </w:r>
      <w:r w:rsidRPr="00B8207E">
        <w:rPr>
          <w:rFonts w:asciiTheme="minorHAnsi" w:hAnsiTheme="minorHAnsi"/>
          <w:sz w:val="22"/>
          <w:szCs w:val="22"/>
          <w:lang w:val="en-GB"/>
        </w:rPr>
        <w:t xml:space="preserve"> actors of the mining sector and will benefit students of geoscience as well as AS</w:t>
      </w:r>
      <w:r>
        <w:rPr>
          <w:rFonts w:asciiTheme="minorHAnsi" w:hAnsiTheme="minorHAnsi"/>
          <w:sz w:val="22"/>
          <w:szCs w:val="22"/>
          <w:lang w:val="en-GB"/>
        </w:rPr>
        <w:t>G</w:t>
      </w:r>
      <w:r w:rsidRPr="00B8207E">
        <w:rPr>
          <w:rFonts w:asciiTheme="minorHAnsi" w:hAnsiTheme="minorHAnsi"/>
          <w:sz w:val="22"/>
          <w:szCs w:val="22"/>
          <w:lang w:val="en-GB"/>
        </w:rPr>
        <w:t xml:space="preserve">Ms and the </w:t>
      </w:r>
      <w:r w:rsidRPr="00B8207E">
        <w:rPr>
          <w:rFonts w:asciiTheme="minorHAnsi" w:hAnsiTheme="minorHAnsi"/>
          <w:sz w:val="22"/>
          <w:szCs w:val="22"/>
          <w:lang w:val="en-GB"/>
        </w:rPr>
        <w:lastRenderedPageBreak/>
        <w:t xml:space="preserve">general public. The centre will constitute one of the interventions aimed at sustainable and responsible small-scale mining in Ghana. </w:t>
      </w:r>
    </w:p>
    <w:p w14:paraId="735F7BF9" w14:textId="77777777" w:rsidR="00D70D43" w:rsidRDefault="00D70D43" w:rsidP="002E38A2">
      <w:pPr>
        <w:pStyle w:val="ListParagraph"/>
        <w:widowControl w:val="0"/>
        <w:numPr>
          <w:ilvl w:val="0"/>
          <w:numId w:val="14"/>
        </w:numPr>
        <w:autoSpaceDE w:val="0"/>
        <w:autoSpaceDN w:val="0"/>
        <w:adjustRightInd w:val="0"/>
        <w:contextualSpacing w:val="0"/>
        <w:jc w:val="both"/>
        <w:rPr>
          <w:rFonts w:cstheme="minorHAnsi"/>
          <w:bCs/>
        </w:rPr>
      </w:pPr>
      <w:r w:rsidRPr="00B8207E">
        <w:rPr>
          <w:rFonts w:cstheme="minorHAnsi"/>
          <w:b/>
          <w:bCs/>
        </w:rPr>
        <w:t>Council for Scientific and Industrial Research (CSIR)-Science and Technology Policy Research Institute (STEPRI):</w:t>
      </w:r>
      <w:r w:rsidRPr="00B8207E">
        <w:rPr>
          <w:rFonts w:cstheme="minorHAnsi"/>
          <w:bCs/>
        </w:rPr>
        <w:t xml:space="preserve"> CSIR-STEPRI conducts research to provide knowledge-based information to contribute to the formulation and implementation of policies and </w:t>
      </w:r>
      <w:proofErr w:type="spellStart"/>
      <w:r w:rsidRPr="00B8207E">
        <w:rPr>
          <w:rFonts w:cstheme="minorHAnsi"/>
          <w:bCs/>
        </w:rPr>
        <w:t>programmes</w:t>
      </w:r>
      <w:proofErr w:type="spellEnd"/>
      <w:r w:rsidRPr="00B8207E">
        <w:rPr>
          <w:rFonts w:cstheme="minorHAnsi"/>
          <w:bCs/>
        </w:rPr>
        <w:t xml:space="preserve"> for socio-economic development based on Science, Technology and Innovation (STI).</w:t>
      </w:r>
    </w:p>
    <w:p w14:paraId="3123F76B" w14:textId="77777777" w:rsidR="00D70D43" w:rsidRDefault="00D70D43" w:rsidP="00D70D43">
      <w:pPr>
        <w:rPr>
          <w:rFonts w:cstheme="minorHAnsi"/>
          <w:bCs/>
        </w:rPr>
      </w:pPr>
      <w:r>
        <w:rPr>
          <w:rFonts w:cstheme="minorHAnsi"/>
          <w:bCs/>
        </w:rPr>
        <w:br w:type="page"/>
      </w:r>
    </w:p>
    <w:p w14:paraId="4BD7965E" w14:textId="3AB48FBD" w:rsidR="00D70D43" w:rsidRPr="00C03316" w:rsidRDefault="00D70D43" w:rsidP="00D70D43">
      <w:pPr>
        <w:keepNext/>
        <w:ind w:left="-432" w:right="-432"/>
        <w:jc w:val="center"/>
        <w:rPr>
          <w:rFonts w:eastAsia="Calibri" w:cstheme="minorHAnsi"/>
          <w:b/>
          <w:i/>
        </w:rPr>
      </w:pPr>
      <w:r w:rsidRPr="00C03316">
        <w:rPr>
          <w:rFonts w:eastAsia="Calibri" w:cstheme="minorHAnsi"/>
          <w:b/>
          <w:i/>
        </w:rPr>
        <w:lastRenderedPageBreak/>
        <w:t xml:space="preserve">ANNEX </w:t>
      </w:r>
      <w:r w:rsidR="00367F09">
        <w:rPr>
          <w:rFonts w:eastAsia="Calibri" w:cstheme="minorHAnsi"/>
          <w:b/>
          <w:i/>
        </w:rPr>
        <w:t>1</w:t>
      </w:r>
      <w:r w:rsidRPr="00C03316">
        <w:rPr>
          <w:rFonts w:eastAsia="Calibri" w:cstheme="minorHAnsi"/>
          <w:b/>
          <w:i/>
        </w:rPr>
        <w:t xml:space="preserve"> C:  PROJECT DESCRIPTION FOR ZAMBIA (GEF ID: 9852)</w:t>
      </w:r>
    </w:p>
    <w:p w14:paraId="53F44B8B" w14:textId="77777777" w:rsidR="00367F09" w:rsidRDefault="00D70D43" w:rsidP="00D70D43">
      <w:pPr>
        <w:keepNext/>
        <w:ind w:left="-432" w:right="-432"/>
        <w:jc w:val="center"/>
        <w:rPr>
          <w:rFonts w:eastAsia="Calibri" w:cstheme="minorHAnsi"/>
          <w:b/>
        </w:rPr>
      </w:pPr>
      <w:r w:rsidRPr="00C03316">
        <w:rPr>
          <w:rFonts w:eastAsia="Calibri" w:cstheme="minorHAnsi"/>
          <w:b/>
        </w:rPr>
        <w:t xml:space="preserve">PROPOSED GLOBAL ENVIRONMENT FACILITY GRANT </w:t>
      </w:r>
    </w:p>
    <w:p w14:paraId="28B06D77" w14:textId="29E1BBF4" w:rsidR="00D70D43" w:rsidRDefault="00D70D43" w:rsidP="00D70D43">
      <w:pPr>
        <w:keepNext/>
        <w:ind w:left="-432" w:right="-432"/>
        <w:jc w:val="center"/>
        <w:rPr>
          <w:rFonts w:eastAsia="Calibri" w:cstheme="minorHAnsi"/>
          <w:b/>
        </w:rPr>
      </w:pPr>
      <w:r w:rsidRPr="00C03316">
        <w:rPr>
          <w:rFonts w:eastAsia="Calibri" w:cstheme="minorHAnsi"/>
          <w:b/>
        </w:rPr>
        <w:t xml:space="preserve">TO THE REPUBLIC OF ZAMBIA </w:t>
      </w:r>
    </w:p>
    <w:p w14:paraId="1364357E" w14:textId="77777777" w:rsidR="00D70D43" w:rsidRPr="00C03316" w:rsidRDefault="00D70D43" w:rsidP="00D70D43">
      <w:pPr>
        <w:keepNext/>
        <w:ind w:left="-432" w:right="-432"/>
        <w:jc w:val="center"/>
        <w:rPr>
          <w:rFonts w:eastAsia="Calibri" w:cstheme="minorHAnsi"/>
          <w:b/>
          <w:i/>
        </w:rPr>
      </w:pPr>
      <w:r w:rsidRPr="00C03316">
        <w:rPr>
          <w:rFonts w:eastAsia="Calibri" w:cstheme="minorHAnsi"/>
          <w:b/>
        </w:rPr>
        <w:t>IN THE AMOUNT OF US$ 8,256,881</w:t>
      </w:r>
    </w:p>
    <w:p w14:paraId="0664CC4A" w14:textId="77777777" w:rsidR="00D70D43" w:rsidRPr="00880538" w:rsidRDefault="00D70D43" w:rsidP="00D70D43">
      <w:pPr>
        <w:keepNext/>
        <w:ind w:left="-432" w:right="-432"/>
        <w:jc w:val="both"/>
        <w:rPr>
          <w:rFonts w:eastAsia="Calibri" w:cstheme="minorHAnsi"/>
          <w:b/>
        </w:rPr>
      </w:pPr>
      <w:r w:rsidRPr="00880538">
        <w:rPr>
          <w:rFonts w:eastAsia="Calibri" w:cstheme="minorHAnsi"/>
          <w:b/>
        </w:rPr>
        <w:t xml:space="preserve">STRATEGIC CONTEXT </w:t>
      </w:r>
    </w:p>
    <w:p w14:paraId="63FDD81F" w14:textId="77777777" w:rsidR="00D70D43" w:rsidRPr="00880538" w:rsidRDefault="00D70D43" w:rsidP="00D70D43">
      <w:pPr>
        <w:ind w:hanging="360"/>
        <w:jc w:val="both"/>
        <w:rPr>
          <w:rFonts w:cstheme="minorHAnsi"/>
          <w:bCs/>
        </w:rPr>
      </w:pPr>
      <w:bookmarkStart w:id="24" w:name="_Hlk32235756"/>
      <w:r w:rsidRPr="00880538">
        <w:rPr>
          <w:rFonts w:eastAsia="Calibri" w:cstheme="minorHAnsi"/>
          <w:b/>
        </w:rPr>
        <w:t>A – Country Context</w:t>
      </w:r>
      <w:bookmarkEnd w:id="24"/>
    </w:p>
    <w:p w14:paraId="1C5901AB"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cstheme="minorHAnsi"/>
          <w:bCs/>
        </w:rPr>
      </w:pPr>
      <w:r w:rsidRPr="00880538">
        <w:rPr>
          <w:rFonts w:cstheme="minorHAnsi"/>
          <w:b/>
        </w:rPr>
        <w:t>The global generation of e-waste reached an estimated 50 million tons in 2018, with about 80 percent being shipped to developing countries in Asia and Africa</w:t>
      </w:r>
      <w:r w:rsidRPr="00880538">
        <w:rPr>
          <w:rFonts w:cstheme="minorHAnsi"/>
        </w:rPr>
        <w:t>.</w:t>
      </w:r>
      <w:r w:rsidRPr="00880538">
        <w:rPr>
          <w:rStyle w:val="FootnoteReference"/>
          <w:rFonts w:cstheme="minorHAnsi"/>
        </w:rPr>
        <w:footnoteReference w:id="38"/>
      </w:r>
      <w:r w:rsidRPr="00880538">
        <w:rPr>
          <w:rFonts w:cstheme="minorHAnsi"/>
        </w:rPr>
        <w:t xml:space="preserve"> </w:t>
      </w:r>
      <w:r w:rsidRPr="00880538">
        <w:rPr>
          <w:rFonts w:cstheme="minorHAnsi"/>
          <w:bCs/>
        </w:rPr>
        <w:t>Improper recycling and disposal of heavy metals associated with the burning of e-waste is particularly acute in Africa, where environmental monitoring and regulatory enforcement are relatively weak. The mismanagement of chemicals, releases of unintentionally produced POPs (UPOPS)</w:t>
      </w:r>
      <w:r w:rsidRPr="00880538">
        <w:rPr>
          <w:rStyle w:val="FootnoteReference"/>
          <w:rFonts w:cstheme="minorHAnsi"/>
        </w:rPr>
        <w:footnoteReference w:id="39"/>
      </w:r>
      <w:r w:rsidRPr="00880538">
        <w:rPr>
          <w:rFonts w:cstheme="minorHAnsi"/>
          <w:bCs/>
        </w:rPr>
        <w:t xml:space="preserve"> from open-burning and other sources present serious threats to human health in many parts of Africa.</w:t>
      </w:r>
    </w:p>
    <w:p w14:paraId="1DA1BFE2" w14:textId="77777777" w:rsidR="00D70D43" w:rsidRPr="00880538" w:rsidRDefault="00D70D43" w:rsidP="00D70D43">
      <w:pPr>
        <w:pStyle w:val="ListParagraph"/>
        <w:rPr>
          <w:rFonts w:eastAsia="Calibri" w:cstheme="minorHAnsi"/>
          <w:b/>
        </w:rPr>
      </w:pPr>
    </w:p>
    <w:p w14:paraId="614B14DF"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bCs/>
        </w:rPr>
      </w:pPr>
      <w:proofErr w:type="spellStart"/>
      <w:r w:rsidRPr="00880538">
        <w:rPr>
          <w:rFonts w:eastAsia="Times New Roman" w:cstheme="minorHAnsi"/>
          <w:b/>
          <w:bCs/>
        </w:rPr>
        <w:t>Kabwe</w:t>
      </w:r>
      <w:proofErr w:type="spellEnd"/>
      <w:r w:rsidRPr="00880538">
        <w:rPr>
          <w:rFonts w:eastAsia="Times New Roman" w:cstheme="minorHAnsi"/>
          <w:b/>
          <w:bCs/>
        </w:rPr>
        <w:t xml:space="preserve">, in the north of Zambia, is considered as Africa's most polluted city and has the dubious distinction of being ranked as the world's fourth most polluted site. </w:t>
      </w:r>
      <w:r w:rsidRPr="00880538">
        <w:rPr>
          <w:rFonts w:eastAsia="Times New Roman" w:cstheme="minorHAnsi"/>
          <w:bCs/>
        </w:rPr>
        <w:t xml:space="preserve">The area is a significantly large source of dioxins and furans emissions in Zambia through uncontrolled combustion from urban waste dumps. Many years of unregulated lead mining and indiscriminate disposal has resulted also in release of heavy metals in dust particles, which settled on the ground in the surrounding areas of the mines. Unemployment rates are steadily climbing due to the closure of the lead mines and little opportunities for alternative livelihoods. There is no special facility for hazardous waste and so all the contaminated waste of </w:t>
      </w:r>
      <w:proofErr w:type="spellStart"/>
      <w:r w:rsidRPr="00880538">
        <w:rPr>
          <w:rFonts w:eastAsia="Times New Roman" w:cstheme="minorHAnsi"/>
          <w:bCs/>
        </w:rPr>
        <w:t>Kabwe</w:t>
      </w:r>
      <w:proofErr w:type="spellEnd"/>
      <w:r w:rsidRPr="00880538">
        <w:rPr>
          <w:rFonts w:eastAsia="Times New Roman" w:cstheme="minorHAnsi"/>
          <w:bCs/>
        </w:rPr>
        <w:t xml:space="preserve"> ends up in the solid waste dumpsite. Open burning of non-segregated urban wastes and other toxic wastes (including e-waste, plastics containers, tires, heavy metal such as lead and mercury), constitutes an undesirable option for waste management results in incomplete combustion and release of unintentionally produced POPs.</w:t>
      </w:r>
    </w:p>
    <w:p w14:paraId="186C8BB3" w14:textId="77777777" w:rsidR="00D70D43" w:rsidRPr="00880538" w:rsidRDefault="00D70D43" w:rsidP="00D70D43">
      <w:pPr>
        <w:pStyle w:val="ListParagraph"/>
        <w:rPr>
          <w:rFonts w:eastAsia="Times New Roman" w:cstheme="minorHAnsi"/>
          <w:b/>
          <w:bCs/>
        </w:rPr>
      </w:pPr>
    </w:p>
    <w:p w14:paraId="17381FF5" w14:textId="77777777" w:rsidR="00D70D43" w:rsidRPr="00880538" w:rsidDel="00E95E82"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b/>
          <w:bCs/>
        </w:rPr>
        <w:t>Zambia, as a signatory of the Stockholm Convention (SC) on Persistent Organic Pollutants (POPs), developed its National Implementation Plan (NIP) in 2009 and updated it 2017.</w:t>
      </w:r>
      <w:r w:rsidRPr="00880538">
        <w:rPr>
          <w:rFonts w:eastAsia="Times New Roman" w:cstheme="minorHAnsi"/>
          <w:bCs/>
        </w:rPr>
        <w:t xml:space="preserve"> Under the SC, a total of 26 chemical substances are listed as POPs, including pesticides (such as DDT), industrial chemicals (such as polychlorinated biphenyls, PCBs) and unintentional by-products of industrial and combustion processes (such as dioxins and furans). </w:t>
      </w:r>
      <w:r w:rsidRPr="00880538" w:rsidDel="003D4250">
        <w:rPr>
          <w:rFonts w:eastAsia="Times New Roman" w:cstheme="minorHAnsi"/>
        </w:rPr>
        <w:t xml:space="preserve">Zambia faces challenges because as most wastes are disposed of in open burning landfills. Waste treatment technologies that would meet the requirements under the Stockholm Convention’s guidelines are often inadequate and too expensive to install and operate for local municipalities. This often leads to open burning of mixed wastes.  </w:t>
      </w:r>
    </w:p>
    <w:p w14:paraId="5F2EA9E2" w14:textId="77777777" w:rsidR="00D70D43" w:rsidRPr="00880538" w:rsidDel="00E95E82" w:rsidRDefault="00D70D43" w:rsidP="00D70D43">
      <w:pPr>
        <w:ind w:left="3"/>
        <w:jc w:val="both"/>
        <w:rPr>
          <w:rFonts w:eastAsia="Times New Roman" w:cstheme="minorHAnsi"/>
        </w:rPr>
      </w:pPr>
    </w:p>
    <w:p w14:paraId="1C381F91"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sidDel="003D4250">
        <w:rPr>
          <w:rFonts w:eastAsia="Times New Roman" w:cstheme="minorHAnsi"/>
          <w:b/>
        </w:rPr>
        <w:t xml:space="preserve">Exposure to dioxins, furans and other toxic air pollutants resulting from the incineration of wastes may lead to adverse health effects. </w:t>
      </w:r>
      <w:r w:rsidRPr="00880538" w:rsidDel="003D4250">
        <w:rPr>
          <w:rFonts w:eastAsia="Times New Roman" w:cstheme="minorHAnsi"/>
        </w:rPr>
        <w:t xml:space="preserve">Dioxins can cause developmental problems in children and infertility </w:t>
      </w:r>
      <w:r w:rsidRPr="00880538" w:rsidDel="003D4250">
        <w:rPr>
          <w:rFonts w:eastAsia="Times New Roman" w:cstheme="minorHAnsi"/>
        </w:rPr>
        <w:lastRenderedPageBreak/>
        <w:t xml:space="preserve">problems in adults as well as interfering with endocrine systems and impairment of the nervous system. Short-term, high-level exposure may result in skin lesions and altered liver function. Exposure of animals to dioxins has resulted in several types of cancer (WHO, 2011). Because dioxins and furans are persistent substances that do not readily break down in the environment, they tend to bioaccumulate in the food chain and constitute a serious health risk to humans and animals on the top of the food chain. </w:t>
      </w:r>
    </w:p>
    <w:p w14:paraId="301FB6B3" w14:textId="77777777" w:rsidR="00D70D43" w:rsidRPr="00880538" w:rsidRDefault="00D70D43" w:rsidP="00D70D43">
      <w:pPr>
        <w:ind w:left="3"/>
        <w:jc w:val="both"/>
        <w:rPr>
          <w:rFonts w:eastAsia="Times New Roman" w:cstheme="minorHAnsi"/>
          <w:bCs/>
        </w:rPr>
      </w:pPr>
    </w:p>
    <w:p w14:paraId="4BB0AD45"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bCs/>
        </w:rPr>
      </w:pPr>
      <w:r w:rsidRPr="00880538" w:rsidDel="003D4250">
        <w:rPr>
          <w:rFonts w:eastAsia="Times New Roman" w:cstheme="minorHAnsi"/>
          <w:b/>
        </w:rPr>
        <w:t>The proposed project aims to reduce the reliance on heavily polluting open incineration of wastes.</w:t>
      </w:r>
      <w:r w:rsidRPr="00880538" w:rsidDel="003D4250">
        <w:rPr>
          <w:rFonts w:eastAsia="Times New Roman" w:cstheme="minorHAnsi"/>
        </w:rPr>
        <w:t xml:space="preserve"> The project will promote the use of non-incineration technologies favoring recycling of wastes that will generate local jobs and income for local communities.</w:t>
      </w:r>
      <w:r w:rsidRPr="00880538">
        <w:rPr>
          <w:rFonts w:eastAsia="Times New Roman" w:cstheme="minorHAnsi"/>
        </w:rPr>
        <w:t xml:space="preserve"> </w:t>
      </w:r>
      <w:r w:rsidRPr="00880538">
        <w:rPr>
          <w:rFonts w:eastAsia="Times New Roman" w:cstheme="minorHAnsi"/>
          <w:bCs/>
        </w:rPr>
        <w:t xml:space="preserve">The project will promote best practices and techniques for hazardous and solid waste management to minimize releases of Persistent Organic Pollutants (POPs) and reduce exposure to contaminated materials. </w:t>
      </w:r>
    </w:p>
    <w:p w14:paraId="53F40B67" w14:textId="77777777" w:rsidR="00D70D43" w:rsidRPr="00880538" w:rsidRDefault="00D70D43" w:rsidP="00D70D43">
      <w:pPr>
        <w:ind w:left="720"/>
        <w:contextualSpacing/>
        <w:rPr>
          <w:rFonts w:eastAsia="Times New Roman" w:cstheme="minorHAnsi"/>
          <w:b/>
        </w:rPr>
      </w:pPr>
    </w:p>
    <w:p w14:paraId="5466585E" w14:textId="77777777" w:rsidR="00D70D43" w:rsidRPr="00880538" w:rsidRDefault="00D70D43" w:rsidP="00D70D43">
      <w:pPr>
        <w:ind w:left="-432" w:right="-432"/>
        <w:contextualSpacing/>
        <w:mirrorIndents/>
        <w:rPr>
          <w:rFonts w:eastAsia="Times New Roman" w:cstheme="minorHAnsi"/>
          <w:bCs/>
        </w:rPr>
      </w:pPr>
      <w:r w:rsidRPr="00880538">
        <w:rPr>
          <w:rFonts w:eastAsia="Times New Roman" w:cstheme="minorHAnsi"/>
          <w:b/>
        </w:rPr>
        <w:t>B – Sectoral and Institutional Context</w:t>
      </w:r>
    </w:p>
    <w:p w14:paraId="7558E1D7" w14:textId="77777777" w:rsidR="00D70D43" w:rsidRPr="00880538" w:rsidRDefault="00D70D43" w:rsidP="00D70D43">
      <w:pPr>
        <w:spacing w:before="120"/>
        <w:ind w:right="-432"/>
        <w:contextualSpacing/>
        <w:mirrorIndents/>
        <w:jc w:val="both"/>
        <w:rPr>
          <w:rFonts w:eastAsia="Times New Roman" w:cstheme="minorHAnsi"/>
        </w:rPr>
      </w:pPr>
    </w:p>
    <w:p w14:paraId="6DDCF12F"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rPr>
      </w:pPr>
      <w:r w:rsidRPr="00880538">
        <w:rPr>
          <w:rFonts w:cstheme="minorHAnsi"/>
          <w:b/>
          <w:bCs/>
        </w:rPr>
        <w:t xml:space="preserve">Management of e-waste are among the most critical pollution management issues in Sub-Saharan Africa. </w:t>
      </w:r>
      <w:r w:rsidRPr="00880538">
        <w:rPr>
          <w:rFonts w:eastAsia="SimSun" w:cstheme="minorHAnsi"/>
        </w:rPr>
        <w:t xml:space="preserve">In addition, </w:t>
      </w:r>
      <w:r w:rsidRPr="00880538">
        <w:rPr>
          <w:rFonts w:cstheme="minorHAnsi"/>
        </w:rPr>
        <w:t xml:space="preserve">over the past 20 years, the ICT market has grown exponentially and is estimated to generate the fastest growing waste stream in the world, at 20-50 million tons per year. </w:t>
      </w:r>
      <w:r w:rsidRPr="00880538">
        <w:rPr>
          <w:rFonts w:cstheme="minorHAnsi"/>
          <w:u w:val="single"/>
        </w:rPr>
        <w:t>E-waste</w:t>
      </w:r>
      <w:r w:rsidRPr="00880538">
        <w:rPr>
          <w:rFonts w:cstheme="minorHAnsi"/>
        </w:rPr>
        <w:t xml:space="preserve"> is shipped, often illegally, to developing countries for recycling. </w:t>
      </w:r>
      <w:r w:rsidRPr="00880538">
        <w:rPr>
          <w:rFonts w:cstheme="minorHAnsi"/>
          <w:bCs/>
        </w:rPr>
        <w:t>It is a valuable commodity with more than 92 percent recoverable and reusable materials ranging from precious metals (</w:t>
      </w:r>
      <w:proofErr w:type="spellStart"/>
      <w:r w:rsidRPr="00880538">
        <w:rPr>
          <w:rFonts w:cstheme="minorHAnsi"/>
          <w:bCs/>
        </w:rPr>
        <w:t>ie</w:t>
      </w:r>
      <w:proofErr w:type="spellEnd"/>
      <w:r w:rsidRPr="00880538">
        <w:rPr>
          <w:rFonts w:cstheme="minorHAnsi"/>
          <w:bCs/>
        </w:rPr>
        <w:t>. gold, silver, copper, platinum, and palladium) to recyclable metals and plastics, with a potential value of € 55 billion</w:t>
      </w:r>
      <w:r w:rsidRPr="00880538">
        <w:rPr>
          <w:rStyle w:val="FootnoteReference"/>
          <w:rFonts w:cstheme="minorHAnsi"/>
        </w:rPr>
        <w:footnoteReference w:id="40"/>
      </w:r>
      <w:r w:rsidRPr="00880538">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880538">
        <w:rPr>
          <w:rFonts w:cstheme="minorHAnsi"/>
        </w:rPr>
        <w:t>the quantities of e-waste accumulating in Sub-Saharan countries have been increasing exponentially in recent years. It is critical to address the policy environment for both mercury and e-waste management, improve knowledge on the economic and health impact of pollution, and facilitate access to cleaner technologies in the region.</w:t>
      </w:r>
    </w:p>
    <w:p w14:paraId="501D907C" w14:textId="77777777" w:rsidR="00D70D43" w:rsidRPr="00880538" w:rsidRDefault="00D70D43" w:rsidP="00D70D43">
      <w:pPr>
        <w:pStyle w:val="ListParagraph"/>
        <w:ind w:left="0"/>
        <w:jc w:val="both"/>
        <w:rPr>
          <w:rFonts w:cstheme="minorHAnsi"/>
        </w:rPr>
      </w:pPr>
      <w:r w:rsidRPr="00880538">
        <w:rPr>
          <w:rFonts w:cstheme="minorHAnsi"/>
        </w:rPr>
        <w:t xml:space="preserve"> </w:t>
      </w:r>
    </w:p>
    <w:p w14:paraId="193CBAFE"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rPr>
      </w:pPr>
      <w:r w:rsidRPr="00880538">
        <w:rPr>
          <w:rFonts w:cstheme="minorHAnsi"/>
          <w:b/>
          <w:bCs/>
        </w:rPr>
        <w:t xml:space="preserve">The institutional and policy environment dealing with e-waste is weak at the national level. </w:t>
      </w:r>
      <w:r w:rsidRPr="00880538">
        <w:rPr>
          <w:rFonts w:cstheme="minorHAnsi"/>
          <w:color w:val="000000" w:themeColor="text1"/>
        </w:rPr>
        <w:t>T</w:t>
      </w:r>
      <w:r w:rsidRPr="00880538">
        <w:rPr>
          <w:rFonts w:cstheme="minorHAnsi"/>
        </w:rPr>
        <w:t xml:space="preserve">here are limited policies in place to manage e-waste related pollution. </w:t>
      </w:r>
      <w:r w:rsidRPr="00880538">
        <w:rPr>
          <w:rFonts w:cstheme="minorHAnsi"/>
          <w:bCs/>
        </w:rPr>
        <w:t>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w:t>
      </w:r>
    </w:p>
    <w:p w14:paraId="49DE62DD" w14:textId="77777777" w:rsidR="00D70D43" w:rsidRPr="00880538" w:rsidRDefault="00D70D43" w:rsidP="00D70D43">
      <w:pPr>
        <w:rPr>
          <w:rFonts w:cstheme="minorHAnsi"/>
          <w:bCs/>
          <w:highlight w:val="yellow"/>
        </w:rPr>
      </w:pPr>
    </w:p>
    <w:p w14:paraId="738381C9" w14:textId="77777777" w:rsidR="00D70D43" w:rsidRPr="00880538" w:rsidRDefault="00D70D43" w:rsidP="00D70D43">
      <w:pPr>
        <w:ind w:left="-432" w:right="-432"/>
        <w:mirrorIndents/>
        <w:rPr>
          <w:rFonts w:eastAsia="Calibri" w:cstheme="minorHAnsi"/>
          <w:b/>
        </w:rPr>
      </w:pPr>
      <w:r w:rsidRPr="00880538">
        <w:rPr>
          <w:rFonts w:eastAsia="Calibri" w:cstheme="minorHAnsi"/>
          <w:b/>
        </w:rPr>
        <w:t>C – Relevance to Higher Level Objectives</w:t>
      </w:r>
    </w:p>
    <w:p w14:paraId="1717037E" w14:textId="69F25263"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color w:val="0D0D0D"/>
        </w:rPr>
      </w:pPr>
      <w:r w:rsidRPr="00880538">
        <w:rPr>
          <w:rFonts w:cstheme="minorHAnsi"/>
          <w:b/>
          <w:bCs/>
        </w:rPr>
        <w:t xml:space="preserve">The proposed </w:t>
      </w:r>
      <w:r w:rsidR="00301B2C">
        <w:rPr>
          <w:rFonts w:cstheme="minorHAnsi"/>
          <w:b/>
          <w:bCs/>
        </w:rPr>
        <w:t xml:space="preserve">project </w:t>
      </w:r>
      <w:r w:rsidRPr="00880538">
        <w:rPr>
          <w:rFonts w:cstheme="minorHAnsi"/>
          <w:b/>
          <w:bCs/>
        </w:rPr>
        <w:t>is aligned with the WBG’s twin goals of ending extreme poverty and promoting shared prosperity.</w:t>
      </w:r>
      <w:r w:rsidRPr="00880538">
        <w:rPr>
          <w:rFonts w:cstheme="minorHAnsi"/>
          <w:bCs/>
        </w:rPr>
        <w:t xml:space="preserve"> This project follows the </w:t>
      </w:r>
      <w:r w:rsidRPr="00880538">
        <w:rPr>
          <w:rFonts w:cstheme="minorHAnsi"/>
          <w:bCs/>
          <w:u w:val="single"/>
        </w:rPr>
        <w:t>Regional Integration Assistance Strategy FY18-FY23</w:t>
      </w:r>
      <w:r w:rsidRPr="00880538">
        <w:rPr>
          <w:rFonts w:cstheme="minorHAnsi"/>
          <w:bCs/>
        </w:rPr>
        <w:t xml:space="preserve">,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It is also aligned with the </w:t>
      </w:r>
      <w:r w:rsidRPr="00880538">
        <w:rPr>
          <w:rFonts w:cstheme="minorHAnsi"/>
          <w:bCs/>
          <w:u w:val="single"/>
        </w:rPr>
        <w:t xml:space="preserve">Bank’s Africa </w:t>
      </w:r>
      <w:r w:rsidRPr="00880538">
        <w:rPr>
          <w:rFonts w:cstheme="minorHAnsi"/>
          <w:bCs/>
          <w:u w:val="single"/>
        </w:rPr>
        <w:lastRenderedPageBreak/>
        <w:t>Strategy</w:t>
      </w:r>
      <w:r w:rsidRPr="00880538">
        <w:rPr>
          <w:rFonts w:cstheme="minorHAnsi"/>
          <w:bCs/>
        </w:rPr>
        <w:t xml:space="preserve">, supporting Pillars 1 and 2, related to competitiveness and employment, vulnerability and resilience, and governance and public-sector capacity. </w:t>
      </w:r>
    </w:p>
    <w:p w14:paraId="68EDBBD5" w14:textId="77777777" w:rsidR="00D70D43" w:rsidRPr="00880538" w:rsidRDefault="00D70D43" w:rsidP="00D70D43">
      <w:pPr>
        <w:pStyle w:val="ListParagraph"/>
        <w:jc w:val="both"/>
        <w:rPr>
          <w:rFonts w:cstheme="minorHAnsi"/>
          <w:color w:val="0D0D0D"/>
        </w:rPr>
      </w:pPr>
    </w:p>
    <w:p w14:paraId="755AC2B3" w14:textId="0C7060EF" w:rsidR="00D70D43" w:rsidRDefault="00D70D43" w:rsidP="00D70D43">
      <w:pPr>
        <w:pStyle w:val="ListParagraph"/>
        <w:widowControl w:val="0"/>
        <w:numPr>
          <w:ilvl w:val="0"/>
          <w:numId w:val="20"/>
        </w:numPr>
        <w:autoSpaceDE w:val="0"/>
        <w:autoSpaceDN w:val="0"/>
        <w:adjustRightInd w:val="0"/>
        <w:spacing w:after="0" w:line="240" w:lineRule="auto"/>
        <w:ind w:hanging="450"/>
        <w:rPr>
          <w:rFonts w:cstheme="minorHAnsi"/>
          <w:bCs/>
        </w:rPr>
      </w:pPr>
      <w:r w:rsidRPr="00403977">
        <w:rPr>
          <w:rFonts w:cstheme="minorHAnsi"/>
          <w:b/>
          <w:bCs/>
        </w:rPr>
        <w:t xml:space="preserve">The </w:t>
      </w:r>
      <w:r w:rsidR="00EC798D" w:rsidRPr="00403977">
        <w:rPr>
          <w:rFonts w:cstheme="minorHAnsi"/>
          <w:b/>
          <w:bCs/>
        </w:rPr>
        <w:t xml:space="preserve">project </w:t>
      </w:r>
      <w:r w:rsidRPr="00403977">
        <w:rPr>
          <w:rFonts w:cstheme="minorHAnsi"/>
          <w:b/>
          <w:bCs/>
        </w:rPr>
        <w:t>will contribute to the GEF 6 Chemicals and Waste Focal Area Strategy</w:t>
      </w:r>
      <w:r w:rsidRPr="00EC798D">
        <w:rPr>
          <w:rFonts w:cstheme="minorHAnsi"/>
          <w:b/>
          <w:bCs/>
        </w:rPr>
        <w:t xml:space="preserve"> </w:t>
      </w:r>
      <w:r w:rsidRPr="00EC798D">
        <w:rPr>
          <w:rFonts w:cstheme="minorHAnsi"/>
          <w:bCs/>
        </w:rPr>
        <w:t xml:space="preserve">that aims “to prevent the exposure of humans and the environment to harmful chemicals and waste of global importance including POPs, mercury and ozone depleting substances.” </w:t>
      </w:r>
      <w:r w:rsidR="00091456">
        <w:rPr>
          <w:rFonts w:cstheme="minorHAnsi"/>
          <w:bCs/>
        </w:rPr>
        <w:t xml:space="preserve"> </w:t>
      </w:r>
    </w:p>
    <w:p w14:paraId="7A02512C" w14:textId="77777777" w:rsidR="00EC798D" w:rsidRPr="00EC798D" w:rsidRDefault="00EC798D" w:rsidP="00EC798D">
      <w:pPr>
        <w:widowControl w:val="0"/>
        <w:autoSpaceDE w:val="0"/>
        <w:autoSpaceDN w:val="0"/>
        <w:adjustRightInd w:val="0"/>
        <w:spacing w:after="0" w:line="240" w:lineRule="auto"/>
        <w:rPr>
          <w:rFonts w:cstheme="minorHAnsi"/>
          <w:bCs/>
        </w:rPr>
      </w:pPr>
    </w:p>
    <w:p w14:paraId="35EC4118"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403977">
        <w:rPr>
          <w:rFonts w:cstheme="minorHAnsi"/>
          <w:b/>
          <w:bCs/>
        </w:rPr>
        <w:t>The project is aligned with the Zambia’s Country Partnership Framework (FY19-23)</w:t>
      </w:r>
      <w:r w:rsidRPr="00403977">
        <w:rPr>
          <w:rStyle w:val="FootnoteReference"/>
          <w:rFonts w:cstheme="minorHAnsi"/>
          <w:b/>
        </w:rPr>
        <w:footnoteReference w:id="41"/>
      </w:r>
      <w:r w:rsidRPr="00403977">
        <w:rPr>
          <w:rFonts w:cstheme="minorHAnsi"/>
          <w:b/>
          <w:bCs/>
        </w:rPr>
        <w:t>,</w:t>
      </w:r>
      <w:r w:rsidRPr="00880538">
        <w:rPr>
          <w:rFonts w:cstheme="minorHAnsi"/>
          <w:bCs/>
        </w:rPr>
        <w:t xml:space="preserve"> the project will help the Government address the development challenges in its priority areas identified in the Seventh National Development Plan, by contributing to the focus area “More even territorial development: Opportunities and Jobs for the poor”.</w:t>
      </w:r>
    </w:p>
    <w:p w14:paraId="4389F722" w14:textId="77777777" w:rsidR="00D70D43" w:rsidRPr="00880538" w:rsidRDefault="00D70D43" w:rsidP="00D70D43">
      <w:pPr>
        <w:pStyle w:val="ListParagraph"/>
        <w:rPr>
          <w:rFonts w:cstheme="minorHAnsi"/>
          <w:b/>
          <w:bCs/>
          <w:highlight w:val="yellow"/>
        </w:rPr>
      </w:pPr>
    </w:p>
    <w:p w14:paraId="1EDA9CC9"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cstheme="minorHAnsi"/>
          <w:b/>
          <w:bCs/>
        </w:rPr>
        <w:t>The project will be implemented in synergy with other ongoing projects and initiatives supporting the environmental health agenda in Africa.</w:t>
      </w:r>
      <w:r w:rsidRPr="00880538">
        <w:rPr>
          <w:rFonts w:cstheme="minorHAnsi"/>
          <w:bCs/>
        </w:rPr>
        <w:t xml:space="preserve"> Principal among these projects are the </w:t>
      </w:r>
      <w:r w:rsidRPr="00880538">
        <w:rPr>
          <w:rFonts w:cstheme="minorHAnsi"/>
          <w:bCs/>
          <w:i/>
        </w:rPr>
        <w:t>GEF Knowledge Exchange and Institutional Partnerships to Reduce Environmental Health Risks from Exposure to Harmful Chemicals and Waste</w:t>
      </w:r>
      <w:r w:rsidRPr="00880538">
        <w:rPr>
          <w:rFonts w:cstheme="minorHAnsi"/>
          <w:bCs/>
        </w:rPr>
        <w:t xml:space="preserve"> (BETF, P166233)</w:t>
      </w:r>
      <w:r w:rsidRPr="00880538">
        <w:rPr>
          <w:rFonts w:cstheme="minorHAnsi"/>
        </w:rPr>
        <w:t xml:space="preserve">. </w:t>
      </w:r>
      <w:r w:rsidRPr="00880538">
        <w:rPr>
          <w:rFonts w:cstheme="minorHAnsi"/>
          <w:bCs/>
        </w:rPr>
        <w:t>In addition, the proposed project will be implemented in close collaboration with other ongoing operations, such as the Mining and Environmental Remediation and Improvement Project (P154683).</w:t>
      </w:r>
    </w:p>
    <w:p w14:paraId="43BD7ECC" w14:textId="77777777" w:rsidR="00D70D43" w:rsidRPr="00880538" w:rsidRDefault="00D70D43" w:rsidP="00D70D43">
      <w:pPr>
        <w:pStyle w:val="ListParagraph"/>
        <w:rPr>
          <w:rFonts w:eastAsia="Calibri" w:cstheme="minorHAnsi"/>
          <w:b/>
        </w:rPr>
      </w:pPr>
    </w:p>
    <w:p w14:paraId="57B61F4A" w14:textId="77777777" w:rsidR="00D70D43" w:rsidRPr="00880538" w:rsidRDefault="00D70D43" w:rsidP="00D70D43">
      <w:pPr>
        <w:pStyle w:val="ListParagraph"/>
        <w:ind w:left="3"/>
        <w:jc w:val="both"/>
        <w:rPr>
          <w:rFonts w:cstheme="minorHAnsi"/>
          <w:bCs/>
        </w:rPr>
      </w:pPr>
      <w:r w:rsidRPr="00880538">
        <w:rPr>
          <w:rFonts w:eastAsia="Calibri" w:cstheme="minorHAnsi"/>
          <w:b/>
        </w:rPr>
        <w:t>Alignment with national and regional priorities</w:t>
      </w:r>
    </w:p>
    <w:p w14:paraId="00DB4928" w14:textId="77777777" w:rsidR="00D70D43" w:rsidRPr="00880538" w:rsidRDefault="00D70D43" w:rsidP="00D70D43">
      <w:pPr>
        <w:pStyle w:val="ListParagraph"/>
        <w:rPr>
          <w:rFonts w:eastAsia="Times New Roman" w:cstheme="minorHAnsi"/>
        </w:rPr>
      </w:pPr>
    </w:p>
    <w:p w14:paraId="77922CE3"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eastAsia="Times New Roman" w:cstheme="minorHAnsi"/>
        </w:rPr>
        <w:t xml:space="preserve">Zambia recognizes that the challenges in pollution management facing the country require increasing efforts to reach a sustainable future growth scenario. ‘Enhance provision of adequate solid waste management services’ in Zambia is also highlighted in the national development strategy of Zambia, which identify improper solid waste management as a health risk to the affected communities. The objective of EHPMP follows closely the National Solid Waste Management Strategy (NSWMS) for Zambia (2004) which sets out the integrated approach to addressing the problem of poor solid waste management, especially focusing on ‘contributing to strengthening the legal and regulatory framework to deal with producer responsibilities’ and ‘promotion of cost effectiveness in waste management as well as public awareness, education and communication’. Furthermore, EHPMP will contribute to the objectives of the NSWMS, especially by ‘developing and adopt environmentally sound treatment and disposal practices. Specifically, EHPMP will align with the second National Implementation Plan (NIP) for Zambia (2017), which sets out the roadmap and methodology for implementing the Stockholm Convention in the country. In the newly updated form additional POPs were identified compared to the initial NIP (2004). The second NIP identified that there is a need to strengthen environmental monitoring capacity, institutional mechanisms and enforcement capacity of responsible institutions, as well as increase the level of awareness to the dangers of POPs issues and pesticides among the public and stakeholders. </w:t>
      </w:r>
    </w:p>
    <w:p w14:paraId="3DD10ADC" w14:textId="77777777" w:rsidR="00D70D43" w:rsidRPr="00880538" w:rsidRDefault="00D70D43" w:rsidP="00D70D43">
      <w:pPr>
        <w:pStyle w:val="ListParagraph"/>
        <w:ind w:left="3"/>
        <w:jc w:val="both"/>
        <w:rPr>
          <w:rFonts w:cstheme="minorHAnsi"/>
          <w:bCs/>
        </w:rPr>
      </w:pPr>
    </w:p>
    <w:p w14:paraId="179A6BD2"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eastAsia="Times New Roman" w:cstheme="minorHAnsi"/>
        </w:rPr>
        <w:t xml:space="preserve">The project will contribute to the capacity of Zambia to better understand the management aspects of chemical waste in relation to their aspiration to meet SDGs. Chemicals play an important role in development, and so the Sound Management of Chemicals and Wastes (SMCW) is an important </w:t>
      </w:r>
      <w:r w:rsidRPr="00880538">
        <w:rPr>
          <w:rFonts w:eastAsia="Times New Roman" w:cstheme="minorHAnsi"/>
        </w:rPr>
        <w:lastRenderedPageBreak/>
        <w:t>component of the global effort to achieve sustainable, inclusive and resilient human development and the SDGs Widespread contamination from chemical waste and lack of policies to address human health risks may jeopardize the efforts of African countries the achieve SGDs.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There are specific targets for each of the goals related to chemical pollution and health. For instance, target 3.9 refers to reduction of deaths and illnesses caused by hazardous chemicals and air, water, and soil pollution. Target 6.3 aims to reduce pollution, eliminate dumping, and minimize release of hazardous chemicals and materials. Target 12.4. specifically aims to achieve environmentally sound management of chemicals and all waste throughout management impacts through entire product life cycle and minimize the adverse impacts on human health and the environment. Target 12.5 aims to substantially reduce waste generation through prevention, reduction, repair, recycling, and reuse.</w:t>
      </w:r>
    </w:p>
    <w:p w14:paraId="1A271F39" w14:textId="77777777" w:rsidR="00D70D43" w:rsidRPr="00880538" w:rsidRDefault="00D70D43" w:rsidP="00D70D43">
      <w:pPr>
        <w:pStyle w:val="ListParagraph"/>
        <w:ind w:left="3"/>
        <w:jc w:val="both"/>
        <w:rPr>
          <w:rFonts w:cstheme="minorHAnsi"/>
          <w:bCs/>
        </w:rPr>
      </w:pPr>
    </w:p>
    <w:p w14:paraId="69E58F91" w14:textId="77777777" w:rsidR="00D70D43" w:rsidRPr="00880538"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880538">
        <w:rPr>
          <w:rFonts w:eastAsia="Times New Roman" w:cstheme="minorHAnsi"/>
        </w:rPr>
        <w:t xml:space="preserve">Several projects and initiatives support environmental-health agenda in Zambia and the EHPMP will coordinate with these for greater synergy of development outcomes. Principal among these projects are: (i) The Global Center of Excellence in Artisanal and Small-Scale Mining led by the Energy and Extractives GP in close collaboration with the Environment and Natural Resources GP and the Organization of Economic Cooperation and Development (OECD) and (ii) the Zambia Mining and Environmental Remediation and Improvement Project. </w:t>
      </w:r>
    </w:p>
    <w:p w14:paraId="26C1A0EB" w14:textId="77777777" w:rsidR="00D70D43" w:rsidRPr="00880538" w:rsidRDefault="00D70D43" w:rsidP="00D70D43">
      <w:pPr>
        <w:pStyle w:val="ListParagraph"/>
        <w:rPr>
          <w:rFonts w:eastAsia="Times New Roman" w:cstheme="minorHAnsi"/>
          <w:b/>
          <w:bCs/>
        </w:rPr>
      </w:pPr>
    </w:p>
    <w:p w14:paraId="6D4718C8" w14:textId="77777777" w:rsidR="00D70D43" w:rsidRPr="00880538" w:rsidRDefault="00D70D43" w:rsidP="00D70D43">
      <w:pPr>
        <w:jc w:val="both"/>
        <w:rPr>
          <w:rFonts w:cstheme="minorHAnsi"/>
          <w:bCs/>
        </w:rPr>
      </w:pPr>
      <w:r w:rsidRPr="00880538">
        <w:rPr>
          <w:rFonts w:eastAsia="Times New Roman" w:cstheme="minorHAnsi"/>
          <w:b/>
          <w:bCs/>
        </w:rPr>
        <w:t>PROJECT DESCRIPTION</w:t>
      </w:r>
    </w:p>
    <w:p w14:paraId="09AE35EB" w14:textId="77777777" w:rsidR="00D70D43" w:rsidRPr="00880538" w:rsidRDefault="00D70D43" w:rsidP="00D70D43">
      <w:pPr>
        <w:pStyle w:val="ListParagraph"/>
        <w:ind w:left="3"/>
        <w:jc w:val="both"/>
        <w:rPr>
          <w:rFonts w:cstheme="minorHAnsi"/>
          <w:bCs/>
        </w:rPr>
      </w:pPr>
      <w:r w:rsidRPr="00880538">
        <w:rPr>
          <w:rFonts w:eastAsia="Calibri" w:cstheme="minorHAnsi"/>
          <w:b/>
        </w:rPr>
        <w:t>A – Project Development Objective</w:t>
      </w:r>
    </w:p>
    <w:p w14:paraId="7B573F8D" w14:textId="77777777" w:rsidR="00D70D43" w:rsidRPr="00880538" w:rsidRDefault="00D70D43" w:rsidP="00D70D43">
      <w:pPr>
        <w:pStyle w:val="ListParagraph"/>
        <w:rPr>
          <w:rFonts w:eastAsia="Calibri" w:cstheme="minorHAnsi"/>
          <w:b/>
          <w:bCs/>
        </w:rPr>
      </w:pPr>
    </w:p>
    <w:p w14:paraId="5D2DF37D" w14:textId="77777777" w:rsidR="00D70D43" w:rsidRPr="00880538" w:rsidRDefault="00D70D43" w:rsidP="00D70D43">
      <w:pPr>
        <w:pStyle w:val="ListParagraph"/>
        <w:ind w:left="3"/>
        <w:jc w:val="both"/>
        <w:rPr>
          <w:rFonts w:cstheme="minorHAnsi"/>
          <w:bCs/>
        </w:rPr>
      </w:pPr>
      <w:r w:rsidRPr="00880538">
        <w:rPr>
          <w:rFonts w:eastAsia="Calibri" w:cstheme="minorHAnsi"/>
          <w:b/>
          <w:bCs/>
        </w:rPr>
        <w:t>PDO Statement</w:t>
      </w:r>
    </w:p>
    <w:p w14:paraId="46E2F892" w14:textId="77777777" w:rsidR="00D70D43" w:rsidRPr="00880538" w:rsidRDefault="00D70D43" w:rsidP="00D70D43">
      <w:pPr>
        <w:pStyle w:val="ListParagraph"/>
        <w:rPr>
          <w:rFonts w:cstheme="minorHAnsi"/>
          <w:bCs/>
          <w:i/>
        </w:rPr>
      </w:pPr>
    </w:p>
    <w:p w14:paraId="0C66E40A" w14:textId="77777777" w:rsidR="00D70D43" w:rsidRPr="00403977"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403977">
        <w:rPr>
          <w:rFonts w:cstheme="minorHAnsi"/>
          <w:bCs/>
        </w:rPr>
        <w:t xml:space="preserve">The project aims to reduce exposure to </w:t>
      </w:r>
      <w:proofErr w:type="spellStart"/>
      <w:r w:rsidRPr="00403977">
        <w:rPr>
          <w:rFonts w:cstheme="minorHAnsi"/>
          <w:bCs/>
        </w:rPr>
        <w:t>uPOPs</w:t>
      </w:r>
      <w:proofErr w:type="spellEnd"/>
      <w:r w:rsidRPr="00403977">
        <w:rPr>
          <w:rFonts w:cstheme="minorHAnsi"/>
          <w:bCs/>
        </w:rPr>
        <w:t xml:space="preserve"> pollution in pilot sites and strengthen the institutional capacity to manage and regulate e-waste in Zambia.</w:t>
      </w:r>
    </w:p>
    <w:p w14:paraId="624715CB" w14:textId="77777777" w:rsidR="00D70D43" w:rsidRDefault="00D70D43" w:rsidP="00D70D43">
      <w:pPr>
        <w:pStyle w:val="ListParagraph"/>
        <w:ind w:left="0"/>
        <w:jc w:val="both"/>
        <w:rPr>
          <w:rFonts w:cstheme="minorHAnsi"/>
          <w:bCs/>
        </w:rPr>
      </w:pPr>
    </w:p>
    <w:p w14:paraId="5C1BF57F" w14:textId="77777777" w:rsidR="00D70D43" w:rsidRPr="004875A0" w:rsidRDefault="00D70D43" w:rsidP="00D70D43">
      <w:pPr>
        <w:pStyle w:val="ListParagraph"/>
        <w:ind w:left="0"/>
        <w:jc w:val="both"/>
        <w:rPr>
          <w:rFonts w:cstheme="minorHAnsi"/>
          <w:bCs/>
        </w:rPr>
      </w:pPr>
      <w:r w:rsidRPr="004875A0">
        <w:rPr>
          <w:rFonts w:cstheme="minorHAnsi"/>
          <w:b/>
          <w:bCs/>
        </w:rPr>
        <w:t>PDO Level Indicators</w:t>
      </w:r>
    </w:p>
    <w:p w14:paraId="37A5E06E" w14:textId="77777777" w:rsidR="00D70D43" w:rsidRPr="00EB060E"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EB060E">
        <w:rPr>
          <w:rFonts w:cstheme="minorHAnsi"/>
          <w:noProof/>
        </w:rPr>
        <w:t>The following PDO indicators are proposed, disaggregated by country:</w:t>
      </w:r>
    </w:p>
    <w:p w14:paraId="719FA6E3"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Knowledge products on uPOPs management designed and disseminated (Number); </w:t>
      </w:r>
    </w:p>
    <w:p w14:paraId="14D244E2"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 xml:space="preserve">Policy interventions on </w:t>
      </w:r>
      <w:r w:rsidRPr="00EB060E">
        <w:rPr>
          <w:rFonts w:cstheme="minorHAnsi"/>
        </w:rPr>
        <w:t xml:space="preserve">e-waste management (including </w:t>
      </w:r>
      <w:proofErr w:type="spellStart"/>
      <w:r w:rsidRPr="00EB060E">
        <w:rPr>
          <w:rFonts w:cstheme="minorHAnsi"/>
        </w:rPr>
        <w:t>uPOPs</w:t>
      </w:r>
      <w:proofErr w:type="spellEnd"/>
      <w:r w:rsidRPr="00EB060E">
        <w:rPr>
          <w:rFonts w:cstheme="minorHAnsi"/>
        </w:rPr>
        <w:t xml:space="preserve"> emissions)</w:t>
      </w:r>
      <w:r>
        <w:rPr>
          <w:rFonts w:cstheme="minorHAnsi"/>
        </w:rPr>
        <w:t xml:space="preserve"> </w:t>
      </w:r>
      <w:r w:rsidRPr="007E502D">
        <w:rPr>
          <w:rFonts w:cstheme="minorHAnsi"/>
        </w:rPr>
        <w:t xml:space="preserve">designed and </w:t>
      </w:r>
      <w:r>
        <w:rPr>
          <w:rFonts w:cstheme="minorHAnsi"/>
        </w:rPr>
        <w:t>consulted</w:t>
      </w:r>
      <w:r w:rsidRPr="007E502D">
        <w:rPr>
          <w:rFonts w:cstheme="minorHAnsi"/>
        </w:rPr>
        <w:t xml:space="preserve"> (Number)</w:t>
      </w:r>
      <w:r w:rsidRPr="00EB060E">
        <w:rPr>
          <w:rFonts w:cstheme="minorHAnsi"/>
          <w:noProof/>
        </w:rPr>
        <w:t xml:space="preserve">; </w:t>
      </w:r>
    </w:p>
    <w:p w14:paraId="61A953A9"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204CE1">
        <w:rPr>
          <w:rFonts w:cstheme="minorHAnsi"/>
        </w:rPr>
        <w:t>Piloting of best environmental practices and cleaner technologies to help countries meet their Stockholm and Minamata Convention obligations completed and evaluated</w:t>
      </w:r>
      <w:r w:rsidRPr="00EB060E">
        <w:rPr>
          <w:rFonts w:cstheme="minorHAnsi"/>
        </w:rPr>
        <w:t xml:space="preserve"> (Number); </w:t>
      </w:r>
    </w:p>
    <w:p w14:paraId="37FB7820" w14:textId="77777777" w:rsidR="00D70D43" w:rsidRPr="00EB060E"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D7362C">
        <w:rPr>
          <w:rFonts w:cstheme="minorHAnsi"/>
          <w:bCs/>
        </w:rPr>
        <w:t xml:space="preserve">Exposure to </w:t>
      </w:r>
      <w:proofErr w:type="spellStart"/>
      <w:r w:rsidRPr="00D7362C">
        <w:rPr>
          <w:rFonts w:cstheme="minorHAnsi"/>
          <w:bCs/>
        </w:rPr>
        <w:t>uPOPs</w:t>
      </w:r>
      <w:proofErr w:type="spellEnd"/>
      <w:r w:rsidRPr="00D7362C">
        <w:rPr>
          <w:rFonts w:cstheme="minorHAnsi"/>
          <w:bCs/>
        </w:rPr>
        <w:t xml:space="preserve"> pollution from open burning of hazardous waste including e-waste reduced at pilot sites</w:t>
      </w:r>
      <w:r>
        <w:rPr>
          <w:rFonts w:cstheme="minorHAnsi"/>
          <w:bCs/>
        </w:rPr>
        <w:t xml:space="preserve"> (Percentage);</w:t>
      </w:r>
    </w:p>
    <w:p w14:paraId="453C3586" w14:textId="77777777" w:rsidR="00D70D43" w:rsidRPr="009E21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EB060E">
        <w:rPr>
          <w:rFonts w:cstheme="minorHAnsi"/>
          <w:noProof/>
        </w:rPr>
        <w:t>Stakeholder outreach events completed (Number)</w:t>
      </w:r>
      <w:r>
        <w:rPr>
          <w:rFonts w:cstheme="minorHAnsi"/>
          <w:noProof/>
        </w:rPr>
        <w:t>.</w:t>
      </w:r>
    </w:p>
    <w:p w14:paraId="31DE1D9D" w14:textId="77777777" w:rsidR="00D70D43" w:rsidRDefault="00D70D43" w:rsidP="00D70D43">
      <w:pPr>
        <w:jc w:val="both"/>
        <w:rPr>
          <w:rFonts w:cstheme="minorHAnsi"/>
          <w:bCs/>
        </w:rPr>
      </w:pPr>
    </w:p>
    <w:p w14:paraId="3122D1E6" w14:textId="77777777" w:rsidR="00D70D43" w:rsidRPr="00726E8C" w:rsidRDefault="00D70D43" w:rsidP="002E38A2">
      <w:pPr>
        <w:pStyle w:val="ListParagraph"/>
        <w:widowControl w:val="0"/>
        <w:numPr>
          <w:ilvl w:val="0"/>
          <w:numId w:val="20"/>
        </w:numPr>
        <w:autoSpaceDE w:val="0"/>
        <w:autoSpaceDN w:val="0"/>
        <w:adjustRightInd w:val="0"/>
        <w:spacing w:after="0" w:line="240" w:lineRule="auto"/>
        <w:jc w:val="both"/>
        <w:rPr>
          <w:rFonts w:cstheme="minorHAnsi"/>
          <w:bCs/>
        </w:rPr>
      </w:pPr>
      <w:r w:rsidRPr="00726E8C">
        <w:rPr>
          <w:rFonts w:cstheme="minorHAnsi"/>
        </w:rPr>
        <w:t>The following intermediate indicators are proposed, disaggregated by country:</w:t>
      </w:r>
    </w:p>
    <w:p w14:paraId="1FDB316F" w14:textId="77777777" w:rsidR="00D70D43" w:rsidRPr="00726E8C" w:rsidRDefault="00D70D43" w:rsidP="00D70D43">
      <w:pPr>
        <w:pStyle w:val="ListParagraph"/>
        <w:ind w:left="0"/>
        <w:jc w:val="both"/>
        <w:rPr>
          <w:rFonts w:cstheme="minorHAnsi"/>
          <w:bCs/>
        </w:rPr>
      </w:pPr>
      <w:r w:rsidRPr="00726E8C">
        <w:rPr>
          <w:rFonts w:cstheme="minorHAnsi"/>
          <w:u w:val="single"/>
        </w:rPr>
        <w:t>Component 1</w:t>
      </w:r>
    </w:p>
    <w:p w14:paraId="370430BD"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E-waste management benchmarked in participating countries (volume/Mt) through the regional </w:t>
      </w:r>
      <w:r w:rsidRPr="00726E8C">
        <w:rPr>
          <w:rFonts w:cstheme="minorHAnsi"/>
        </w:rPr>
        <w:lastRenderedPageBreak/>
        <w:t>platform</w:t>
      </w:r>
      <w:r>
        <w:rPr>
          <w:rFonts w:cstheme="minorHAnsi"/>
        </w:rPr>
        <w:t xml:space="preserve"> (Yes/No)</w:t>
      </w:r>
      <w:r w:rsidRPr="00726E8C">
        <w:rPr>
          <w:rFonts w:cstheme="minorHAnsi"/>
        </w:rPr>
        <w:t xml:space="preserve">; </w:t>
      </w:r>
    </w:p>
    <w:p w14:paraId="36CE8C17"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E0A31">
        <w:rPr>
          <w:rFonts w:cstheme="minorHAnsi"/>
        </w:rPr>
        <w:t>Trained inspection officers</w:t>
      </w:r>
      <w:r w:rsidRPr="00726E8C">
        <w:rPr>
          <w:rFonts w:cstheme="minorHAnsi"/>
        </w:rPr>
        <w:t xml:space="preserve"> (Number trained, % of participants women)</w:t>
      </w:r>
      <w:r>
        <w:rPr>
          <w:rFonts w:cstheme="minorHAnsi"/>
        </w:rPr>
        <w:t>;</w:t>
      </w:r>
      <w:r w:rsidRPr="00726E8C">
        <w:rPr>
          <w:rFonts w:cstheme="minorHAnsi"/>
        </w:rPr>
        <w:t xml:space="preserve"> </w:t>
      </w:r>
    </w:p>
    <w:p w14:paraId="2CE1287F"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Communities involved in planning, implementation and evaluation of demonstration pilots (</w:t>
      </w:r>
      <w:r>
        <w:rPr>
          <w:rFonts w:cstheme="minorHAnsi"/>
        </w:rPr>
        <w:t>Number);</w:t>
      </w:r>
    </w:p>
    <w:p w14:paraId="54DB5751" w14:textId="77777777" w:rsidR="00D70D43" w:rsidRPr="00726E8C" w:rsidRDefault="00D70D43" w:rsidP="00D70D43">
      <w:pPr>
        <w:pStyle w:val="ListParagraph"/>
        <w:ind w:left="0"/>
        <w:jc w:val="both"/>
        <w:rPr>
          <w:rFonts w:cstheme="minorHAnsi"/>
          <w:bCs/>
        </w:rPr>
      </w:pPr>
      <w:r w:rsidRPr="00726E8C">
        <w:rPr>
          <w:rFonts w:cstheme="minorHAnsi"/>
          <w:u w:val="single"/>
        </w:rPr>
        <w:t>Component 2</w:t>
      </w:r>
    </w:p>
    <w:p w14:paraId="7DB1ADB1" w14:textId="77777777" w:rsidR="00D70D43" w:rsidRPr="007F29E3"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Pr>
          <w:rFonts w:cstheme="minorHAnsi"/>
          <w:bCs/>
        </w:rPr>
        <w:t>Policies and Practices on e-waste management benchmarked in participating countries (Yes/No)</w:t>
      </w:r>
    </w:p>
    <w:p w14:paraId="24615564"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Guidelines and checklists for stakeholders and workers </w:t>
      </w:r>
      <w:r>
        <w:rPr>
          <w:rFonts w:cstheme="minorHAnsi"/>
        </w:rPr>
        <w:t>d</w:t>
      </w:r>
      <w:r w:rsidRPr="00726E8C">
        <w:rPr>
          <w:rFonts w:cstheme="minorHAnsi"/>
        </w:rPr>
        <w:t>eveloped (Yes/No)</w:t>
      </w:r>
      <w:r>
        <w:rPr>
          <w:rFonts w:cstheme="minorHAnsi"/>
        </w:rPr>
        <w:t>;</w:t>
      </w:r>
    </w:p>
    <w:p w14:paraId="45159AFE"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 xml:space="preserve">Stakeholder communication strategy </w:t>
      </w:r>
      <w:r>
        <w:rPr>
          <w:rFonts w:cstheme="minorHAnsi"/>
        </w:rPr>
        <w:t>d</w:t>
      </w:r>
      <w:r w:rsidRPr="00726E8C">
        <w:rPr>
          <w:rFonts w:cstheme="minorHAnsi"/>
        </w:rPr>
        <w:t>eveloped (Yes/No</w:t>
      </w:r>
      <w:r>
        <w:rPr>
          <w:rFonts w:cstheme="minorHAnsi"/>
        </w:rPr>
        <w:t>);</w:t>
      </w:r>
    </w:p>
    <w:p w14:paraId="68E7EEEB" w14:textId="77777777" w:rsidR="00D70D43" w:rsidRPr="00726E8C" w:rsidRDefault="00D70D43" w:rsidP="00D70D43">
      <w:pPr>
        <w:pStyle w:val="ListParagraph"/>
        <w:ind w:left="0"/>
        <w:jc w:val="both"/>
        <w:rPr>
          <w:rFonts w:cstheme="minorHAnsi"/>
          <w:bCs/>
        </w:rPr>
      </w:pPr>
      <w:r w:rsidRPr="00726E8C">
        <w:rPr>
          <w:rFonts w:cstheme="minorHAnsi"/>
          <w:u w:val="single"/>
        </w:rPr>
        <w:t>Component 3</w:t>
      </w:r>
    </w:p>
    <w:p w14:paraId="24C595C0" w14:textId="77777777" w:rsidR="00D70D43" w:rsidRPr="00726E8C"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Training events conducted (Number)</w:t>
      </w:r>
      <w:r>
        <w:rPr>
          <w:rFonts w:cstheme="minorHAnsi"/>
        </w:rPr>
        <w:t>;</w:t>
      </w:r>
    </w:p>
    <w:p w14:paraId="5901D6FE" w14:textId="17A3D868" w:rsidR="00D70D43" w:rsidRPr="00403977" w:rsidRDefault="00D70D43" w:rsidP="00403977">
      <w:pPr>
        <w:pStyle w:val="ListParagraph"/>
        <w:widowControl w:val="0"/>
        <w:numPr>
          <w:ilvl w:val="1"/>
          <w:numId w:val="2"/>
        </w:numPr>
        <w:autoSpaceDE w:val="0"/>
        <w:autoSpaceDN w:val="0"/>
        <w:adjustRightInd w:val="0"/>
        <w:spacing w:after="0" w:line="240" w:lineRule="auto"/>
        <w:jc w:val="both"/>
        <w:rPr>
          <w:rFonts w:cstheme="minorHAnsi"/>
          <w:bCs/>
        </w:rPr>
      </w:pPr>
      <w:r w:rsidRPr="00726E8C">
        <w:rPr>
          <w:rFonts w:cstheme="minorHAnsi"/>
        </w:rPr>
        <w:t>Private sector in selected e-waste pilot project sites engaged (Yes/No)</w:t>
      </w:r>
      <w:r>
        <w:rPr>
          <w:rFonts w:cstheme="minorHAnsi"/>
        </w:rPr>
        <w:t>;</w:t>
      </w:r>
    </w:p>
    <w:p w14:paraId="36A1A15F" w14:textId="77777777" w:rsidR="00D70D43" w:rsidRPr="00880538" w:rsidRDefault="00D70D43" w:rsidP="00D70D43">
      <w:pPr>
        <w:tabs>
          <w:tab w:val="left" w:pos="0"/>
        </w:tabs>
        <w:ind w:left="-432" w:right="-432"/>
        <w:mirrorIndents/>
        <w:jc w:val="both"/>
        <w:rPr>
          <w:rFonts w:eastAsia="SimSun" w:cstheme="minorHAnsi"/>
          <w:b/>
        </w:rPr>
      </w:pPr>
    </w:p>
    <w:p w14:paraId="4DC0BA7C" w14:textId="2D47F64F" w:rsidR="00D70D43" w:rsidRPr="00403977" w:rsidRDefault="00D70D43" w:rsidP="00403977">
      <w:pPr>
        <w:tabs>
          <w:tab w:val="left" w:pos="0"/>
        </w:tabs>
        <w:ind w:left="-432" w:right="-432"/>
        <w:mirrorIndents/>
        <w:jc w:val="both"/>
        <w:rPr>
          <w:rFonts w:eastAsia="SimSun" w:cstheme="minorHAnsi"/>
          <w:b/>
        </w:rPr>
      </w:pPr>
      <w:r w:rsidRPr="00880538">
        <w:rPr>
          <w:rFonts w:eastAsia="SimSun" w:cstheme="minorHAnsi"/>
          <w:b/>
        </w:rPr>
        <w:t>B – Project Components</w:t>
      </w:r>
    </w:p>
    <w:p w14:paraId="75BEF9FD" w14:textId="77777777" w:rsidR="00D70D43" w:rsidRPr="0086757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bookmarkStart w:id="25" w:name="_Hlk531102385"/>
      <w:r w:rsidRPr="00867573">
        <w:rPr>
          <w:rFonts w:eastAsia="Times New Roman" w:cstheme="minorHAnsi"/>
          <w:b/>
          <w:bCs/>
        </w:rPr>
        <w:t>Component 1: Institutional strengthening, knowledge and capacity building (US$ 1.8 million GEF).</w:t>
      </w:r>
      <w:r w:rsidRPr="00867573">
        <w:rPr>
          <w:rFonts w:eastAsia="Times New Roman" w:cstheme="minorHAnsi"/>
          <w:bCs/>
        </w:rPr>
        <w:t xml:space="preserve"> This component aims to strengthen the institutional, legislative, monitoring, and enforcement capabilities of the Government of Zambia, as well as support the participation in regional activities for improved management of environmental health risks related to POPs and hazardous waste management.</w:t>
      </w:r>
    </w:p>
    <w:p w14:paraId="3A896209" w14:textId="77777777" w:rsidR="00D70D43" w:rsidRPr="00880538" w:rsidRDefault="00D70D43" w:rsidP="00D70D43">
      <w:pPr>
        <w:ind w:left="3"/>
        <w:jc w:val="both"/>
        <w:rPr>
          <w:rFonts w:eastAsia="Times New Roman" w:cstheme="minorHAnsi"/>
          <w:b/>
        </w:rPr>
      </w:pPr>
    </w:p>
    <w:p w14:paraId="4382C850" w14:textId="77777777" w:rsidR="00D70D43" w:rsidRPr="0043203D"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3203D">
        <w:rPr>
          <w:rFonts w:eastAsia="Times New Roman" w:cstheme="minorHAnsi"/>
          <w:bCs/>
        </w:rPr>
        <w:t xml:space="preserve">Specifically, the component will </w:t>
      </w:r>
      <w:r w:rsidRPr="0043203D">
        <w:rPr>
          <w:rFonts w:eastAsia="Times New Roman" w:cstheme="minorHAnsi"/>
        </w:rPr>
        <w:t>strengthen the capacity for municipalities</w:t>
      </w:r>
      <w:r w:rsidRPr="0043203D">
        <w:rPr>
          <w:rFonts w:eastAsia="Times New Roman" w:cstheme="minorHAnsi"/>
          <w:bCs/>
        </w:rPr>
        <w:t xml:space="preserve"> to manage the collection, transportation, and disposal of waste and build partnerships with private sector for improved recovery and recycling, leading to reduced UPOPS releases, as well as ensuring that POPs containing mining waste (e.g., PCBs) are treated separately. The municipalities will establish linkages for improved livelihoods opportunities in </w:t>
      </w:r>
      <w:r w:rsidRPr="0043203D">
        <w:rPr>
          <w:rFonts w:eastAsia="Times New Roman" w:cstheme="minorHAnsi"/>
        </w:rPr>
        <w:t>collaboration with the private sector</w:t>
      </w:r>
      <w:r w:rsidRPr="0043203D">
        <w:rPr>
          <w:rFonts w:eastAsia="Times New Roman" w:cstheme="minorHAnsi"/>
          <w:bCs/>
        </w:rPr>
        <w:t xml:space="preserve">. This will include providing </w:t>
      </w:r>
      <w:r w:rsidRPr="0043203D">
        <w:rPr>
          <w:rFonts w:eastAsia="Times New Roman" w:cstheme="minorHAnsi"/>
          <w:iCs/>
        </w:rPr>
        <w:t>recommendations for improving collection</w:t>
      </w:r>
      <w:r w:rsidRPr="0043203D">
        <w:rPr>
          <w:rFonts w:eastAsia="Times New Roman" w:cstheme="minorHAnsi"/>
        </w:rPr>
        <w:t xml:space="preserve"> and </w:t>
      </w:r>
      <w:r w:rsidRPr="0043203D">
        <w:rPr>
          <w:rFonts w:eastAsia="Times New Roman" w:cstheme="minorHAnsi"/>
          <w:iCs/>
        </w:rPr>
        <w:t>recycling system</w:t>
      </w:r>
      <w:r w:rsidRPr="0043203D">
        <w:rPr>
          <w:rFonts w:eastAsia="Times New Roman" w:cstheme="minorHAnsi"/>
          <w:bCs/>
        </w:rPr>
        <w:t xml:space="preserve">s, and </w:t>
      </w:r>
      <w:r w:rsidRPr="0043203D">
        <w:rPr>
          <w:rFonts w:eastAsia="Times New Roman" w:cstheme="minorHAnsi"/>
          <w:iCs/>
        </w:rPr>
        <w:t>training recyclers and rag pickers</w:t>
      </w:r>
      <w:r w:rsidRPr="0043203D">
        <w:rPr>
          <w:rFonts w:eastAsia="Times New Roman" w:cstheme="minorHAnsi"/>
          <w:bCs/>
        </w:rPr>
        <w:t xml:space="preserve">, as well as on </w:t>
      </w:r>
      <w:r w:rsidRPr="0043203D">
        <w:rPr>
          <w:rFonts w:eastAsia="Times New Roman" w:cstheme="minorHAnsi"/>
          <w:iCs/>
        </w:rPr>
        <w:t>recovery efforts</w:t>
      </w:r>
      <w:r w:rsidRPr="0043203D">
        <w:rPr>
          <w:rFonts w:eastAsia="Times New Roman" w:cstheme="minorHAnsi"/>
          <w:bCs/>
        </w:rPr>
        <w:t xml:space="preserve">, on occupational health and safer practices. The component will support the </w:t>
      </w:r>
      <w:r w:rsidRPr="0043203D">
        <w:rPr>
          <w:rFonts w:eastAsia="Times New Roman" w:cstheme="minorHAnsi"/>
        </w:rPr>
        <w:t>strengthening of national and municipal coordination through establishing a national project steering committee (including key stakeholders such as government, local authorities, health authorities, private sector, and NGOs) and hold regular meetings.</w:t>
      </w:r>
    </w:p>
    <w:p w14:paraId="0B4B8520" w14:textId="77777777" w:rsidR="00D70D43" w:rsidRPr="00880538" w:rsidRDefault="00D70D43" w:rsidP="00D70D43">
      <w:pPr>
        <w:ind w:left="3"/>
        <w:jc w:val="both"/>
        <w:rPr>
          <w:rFonts w:eastAsia="Times New Roman" w:cstheme="minorHAnsi"/>
          <w:b/>
        </w:rPr>
      </w:pPr>
    </w:p>
    <w:p w14:paraId="6B3ECADA" w14:textId="77777777" w:rsidR="00D70D43" w:rsidRPr="0043203D"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3203D">
        <w:rPr>
          <w:rFonts w:eastAsia="Times New Roman" w:cstheme="minorHAnsi"/>
          <w:bCs/>
        </w:rPr>
        <w:t xml:space="preserve">The component will also support initiatives taken by the Government of Zambia to </w:t>
      </w:r>
      <w:r w:rsidRPr="0043203D">
        <w:rPr>
          <w:rFonts w:eastAsia="Times New Roman" w:cstheme="minorHAnsi"/>
        </w:rPr>
        <w:t>formalize the waste sector</w:t>
      </w:r>
      <w:r w:rsidRPr="0043203D">
        <w:rPr>
          <w:rFonts w:eastAsia="Times New Roman" w:cstheme="minorHAnsi"/>
          <w:bCs/>
        </w:rPr>
        <w:t xml:space="preserve">, specifically to manage environmental health implications of poor management of waste and emissions of POPs associated with solid waste management. This will include conducting a national waste characterization study </w:t>
      </w:r>
      <w:r w:rsidRPr="0043203D">
        <w:rPr>
          <w:rFonts w:eastAsia="MS Mincho" w:cstheme="minorHAnsi"/>
        </w:rPr>
        <w:t xml:space="preserve">to determine the volumes and types of waste and </w:t>
      </w:r>
      <w:r w:rsidRPr="0043203D">
        <w:rPr>
          <w:rFonts w:eastAsia="Times New Roman" w:cstheme="minorHAnsi"/>
          <w:bCs/>
        </w:rPr>
        <w:t xml:space="preserve">ascertain the </w:t>
      </w:r>
      <w:r w:rsidRPr="0043203D">
        <w:rPr>
          <w:rFonts w:eastAsia="MS Mincho" w:cstheme="minorHAnsi"/>
        </w:rPr>
        <w:t xml:space="preserve">economic viability </w:t>
      </w:r>
      <w:r w:rsidRPr="0043203D">
        <w:rPr>
          <w:rFonts w:eastAsia="Times New Roman" w:cstheme="minorHAnsi"/>
          <w:bCs/>
        </w:rPr>
        <w:t>of the e-waste recycling and waste recycling potential</w:t>
      </w:r>
      <w:r w:rsidRPr="0043203D">
        <w:rPr>
          <w:rFonts w:eastAsia="MS Mincho" w:cstheme="minorHAnsi"/>
        </w:rPr>
        <w:t xml:space="preserve"> and private sector collaboration</w:t>
      </w:r>
      <w:r w:rsidRPr="0043203D">
        <w:rPr>
          <w:rFonts w:eastAsia="Times New Roman" w:cstheme="minorHAnsi"/>
          <w:bCs/>
        </w:rPr>
        <w:t xml:space="preserve">. </w:t>
      </w:r>
      <w:r w:rsidRPr="0043203D">
        <w:rPr>
          <w:rFonts w:eastAsia="Times New Roman" w:cstheme="minorHAnsi"/>
        </w:rPr>
        <w:t>This component will also screen and evaluate health and environmental risks associated with POPs and other hazardous chemicals (e.g., PBDEs, Hg) and disseminate information to different actors and affected communities.</w:t>
      </w:r>
    </w:p>
    <w:p w14:paraId="62F9102B" w14:textId="77777777" w:rsidR="00D70D43" w:rsidRPr="00880538" w:rsidRDefault="00D70D43" w:rsidP="00D70D43">
      <w:pPr>
        <w:ind w:left="3"/>
        <w:jc w:val="both"/>
        <w:rPr>
          <w:rFonts w:eastAsia="Times New Roman" w:cstheme="minorHAnsi"/>
        </w:rPr>
      </w:pPr>
    </w:p>
    <w:p w14:paraId="07EE2EF2"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bCs/>
        </w:rPr>
        <w:t xml:space="preserve">The component will also </w:t>
      </w:r>
      <w:r w:rsidRPr="00880538">
        <w:rPr>
          <w:rFonts w:eastAsia="Times New Roman" w:cstheme="minorHAnsi"/>
          <w:iCs/>
        </w:rPr>
        <w:t>build awareness on sound management of waste</w:t>
      </w:r>
      <w:r w:rsidRPr="00880538">
        <w:rPr>
          <w:rFonts w:eastAsia="Times New Roman" w:cstheme="minorHAnsi"/>
          <w:bCs/>
        </w:rPr>
        <w:t xml:space="preserve"> and its impact on human health and the environment. It will ensure both national level stakeholders’ coordination and participation in regional learning and knowledge sharing activities on the harmful chemicals’ agenda. This will contribute to strengthening regional partnerships and collaboration, including with SADEC, UNITAR, and other regional and national actors contributing to the improvement of waste management.  </w:t>
      </w:r>
    </w:p>
    <w:p w14:paraId="578BADEA" w14:textId="77777777" w:rsidR="00D70D43" w:rsidRPr="00880538" w:rsidRDefault="00D70D43" w:rsidP="00D70D43">
      <w:pPr>
        <w:jc w:val="both"/>
        <w:rPr>
          <w:rFonts w:eastAsia="Times New Roman" w:cstheme="minorHAnsi"/>
          <w:b/>
        </w:rPr>
      </w:pPr>
    </w:p>
    <w:p w14:paraId="249BC619" w14:textId="77777777" w:rsidR="00D70D43" w:rsidRPr="00880538" w:rsidRDefault="00D70D43" w:rsidP="002E38A2">
      <w:pPr>
        <w:widowControl w:val="0"/>
        <w:numPr>
          <w:ilvl w:val="0"/>
          <w:numId w:val="20"/>
        </w:numPr>
        <w:tabs>
          <w:tab w:val="left" w:pos="0"/>
        </w:tabs>
        <w:autoSpaceDE w:val="0"/>
        <w:autoSpaceDN w:val="0"/>
        <w:adjustRightInd w:val="0"/>
        <w:spacing w:after="0" w:line="240" w:lineRule="auto"/>
        <w:contextualSpacing/>
        <w:jc w:val="both"/>
        <w:rPr>
          <w:rFonts w:eastAsia="Times New Roman" w:cstheme="minorHAnsi"/>
          <w:noProof/>
        </w:rPr>
      </w:pPr>
      <w:r w:rsidRPr="00880538">
        <w:rPr>
          <w:rFonts w:eastAsia="Times New Roman" w:cstheme="minorHAnsi"/>
          <w:i/>
          <w:u w:val="single"/>
        </w:rPr>
        <w:lastRenderedPageBreak/>
        <w:t>Expected outputs of Component 1</w:t>
      </w:r>
      <w:r w:rsidRPr="00880538">
        <w:rPr>
          <w:rFonts w:eastAsia="Times New Roman" w:cstheme="minorHAnsi"/>
          <w:bCs/>
          <w:i/>
        </w:rPr>
        <w:t>:</w:t>
      </w:r>
    </w:p>
    <w:p w14:paraId="070B69A1"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rPr>
        <w:t>Municipalities</w:t>
      </w:r>
      <w:r w:rsidRPr="00880538">
        <w:rPr>
          <w:rFonts w:eastAsia="Times New Roman" w:cstheme="minorHAnsi"/>
          <w:bCs/>
        </w:rPr>
        <w:t xml:space="preserve"> trained in the collection, transportation, and disposal of waste. </w:t>
      </w:r>
    </w:p>
    <w:p w14:paraId="5BDFEFF9"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Partnerships with the private sector established for improved recovery and recycling.</w:t>
      </w:r>
    </w:p>
    <w:p w14:paraId="3905FCEC"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R</w:t>
      </w:r>
      <w:r w:rsidRPr="00880538">
        <w:rPr>
          <w:rFonts w:eastAsia="Times New Roman" w:cstheme="minorHAnsi"/>
          <w:iCs/>
        </w:rPr>
        <w:t>ecommendations for improving collection</w:t>
      </w:r>
      <w:r w:rsidRPr="00880538">
        <w:rPr>
          <w:rFonts w:eastAsia="Times New Roman" w:cstheme="minorHAnsi"/>
        </w:rPr>
        <w:t xml:space="preserve"> and </w:t>
      </w:r>
      <w:r w:rsidRPr="00880538">
        <w:rPr>
          <w:rFonts w:eastAsia="Times New Roman" w:cstheme="minorHAnsi"/>
          <w:iCs/>
        </w:rPr>
        <w:t>recycling system</w:t>
      </w:r>
      <w:r w:rsidRPr="00880538">
        <w:rPr>
          <w:rFonts w:eastAsia="Times New Roman" w:cstheme="minorHAnsi"/>
          <w:bCs/>
        </w:rPr>
        <w:t xml:space="preserve">s, </w:t>
      </w:r>
      <w:r w:rsidRPr="00880538">
        <w:rPr>
          <w:rFonts w:eastAsia="Times New Roman" w:cstheme="minorHAnsi"/>
          <w:iCs/>
        </w:rPr>
        <w:t>training recyclers and rag pickers</w:t>
      </w:r>
      <w:r w:rsidRPr="00880538">
        <w:rPr>
          <w:rFonts w:eastAsia="Times New Roman" w:cstheme="minorHAnsi"/>
          <w:bCs/>
        </w:rPr>
        <w:t xml:space="preserve">, and </w:t>
      </w:r>
      <w:r w:rsidRPr="00880538">
        <w:rPr>
          <w:rFonts w:eastAsia="Times New Roman" w:cstheme="minorHAnsi"/>
          <w:iCs/>
        </w:rPr>
        <w:t>recovery efforts</w:t>
      </w:r>
      <w:r w:rsidRPr="00880538">
        <w:rPr>
          <w:rFonts w:eastAsia="Times New Roman" w:cstheme="minorHAnsi"/>
          <w:bCs/>
        </w:rPr>
        <w:t xml:space="preserve"> on occupational health and safer practices provided.</w:t>
      </w:r>
    </w:p>
    <w:p w14:paraId="35C4BEEE"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Initiatives supported to formalize the waste sector.</w:t>
      </w:r>
    </w:p>
    <w:p w14:paraId="57DD7817"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Awareness of sound waste management and its impact on human health and environment built.</w:t>
      </w:r>
    </w:p>
    <w:p w14:paraId="6654FD12" w14:textId="77777777" w:rsidR="00D70D43" w:rsidRPr="00880538" w:rsidRDefault="00D70D43" w:rsidP="002E38A2">
      <w:pPr>
        <w:widowControl w:val="0"/>
        <w:numPr>
          <w:ilvl w:val="1"/>
          <w:numId w:val="4"/>
        </w:numPr>
        <w:autoSpaceDE w:val="0"/>
        <w:autoSpaceDN w:val="0"/>
        <w:adjustRightInd w:val="0"/>
        <w:spacing w:after="0" w:line="240" w:lineRule="auto"/>
        <w:ind w:left="720"/>
        <w:contextualSpacing/>
        <w:rPr>
          <w:rFonts w:eastAsia="Times New Roman" w:cstheme="minorHAnsi"/>
          <w:lang w:eastAsia="x-none"/>
        </w:rPr>
      </w:pPr>
      <w:r w:rsidRPr="00880538">
        <w:rPr>
          <w:rFonts w:eastAsia="Times New Roman" w:cstheme="minorHAnsi"/>
          <w:bCs/>
        </w:rPr>
        <w:t>Participation by stakeholders in regional platform events undertaken for coordination and knowledge sharing.</w:t>
      </w:r>
    </w:p>
    <w:p w14:paraId="657D78E6" w14:textId="77777777" w:rsidR="00D70D43" w:rsidRPr="00880538" w:rsidRDefault="00D70D43" w:rsidP="00D70D43">
      <w:pPr>
        <w:jc w:val="both"/>
        <w:rPr>
          <w:rFonts w:eastAsia="Times New Roman" w:cstheme="minorHAnsi"/>
          <w:b/>
        </w:rPr>
      </w:pPr>
    </w:p>
    <w:p w14:paraId="5C4AC3E5"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b/>
        </w:rPr>
        <w:t>Component 2: Support to policy dialogue and regulatory enhancements (US$ 1.8 million GEF).</w:t>
      </w:r>
      <w:r w:rsidRPr="00880538">
        <w:rPr>
          <w:rFonts w:eastAsia="Times New Roman" w:cstheme="minorHAnsi"/>
        </w:rPr>
        <w:t xml:space="preserve"> This component will support the Government of Zambia’s efforts in strengthening the current environmental policies and regulations, and capacity to monitor, screen, and evaluate health and environmental risks associated with POPs and hazardous chemicals. </w:t>
      </w:r>
    </w:p>
    <w:p w14:paraId="3B4A0806" w14:textId="77777777" w:rsidR="00D70D43" w:rsidRPr="00880538" w:rsidRDefault="00D70D43" w:rsidP="00D70D43">
      <w:pPr>
        <w:ind w:left="720"/>
        <w:contextualSpacing/>
        <w:rPr>
          <w:rFonts w:eastAsia="Times New Roman" w:cstheme="minorHAnsi"/>
        </w:rPr>
      </w:pPr>
    </w:p>
    <w:p w14:paraId="2222B43C"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rPr>
        <w:t>This component will develop</w:t>
      </w:r>
      <w:r w:rsidRPr="00880538">
        <w:rPr>
          <w:rFonts w:eastAsia="Times New Roman" w:cstheme="minorHAnsi"/>
          <w:bCs/>
          <w:iCs/>
        </w:rPr>
        <w:t xml:space="preserve"> </w:t>
      </w:r>
      <w:r w:rsidRPr="00880538">
        <w:rPr>
          <w:rFonts w:eastAsia="Times New Roman" w:cstheme="minorHAnsi"/>
        </w:rPr>
        <w:t xml:space="preserve">a strategy and implementation plan for promoting the reduction of emissions and releases of and exposure to POPs and priority chemicals (including addressing gathering of health data, training for health-care workers, and awareness-raising); undertake a comprehensive assessment of the national and municipal institutional and technical framework for waste management (generation, collection, transportation, sorting, treatment, recycling, and disposal), including existing national and municipal studies and initiatives, practices, systems, stakeholders, and mandates; conduct a Value Chain Analysis (VCA) covering recycling, compositing, and the commercialization of recycled and composted materials (including market analysis of greener products such as compost, plastic pellets, and others); identify the various steps of the value chain from waste collection to commercialization of secondary products, and the actors in the value chain; and undertake an identification and analysis of appropriate BAT/BEP for strengthened waste management. Particular attention will be given to prevent the exposure of vulnerable populations, particularly children and women of child-bearing age, especially pregnant women, to POPs and hazardous chemicals as well as dissemination of information to different actors and affected communities. </w:t>
      </w:r>
    </w:p>
    <w:p w14:paraId="28692469" w14:textId="77777777" w:rsidR="00D70D43" w:rsidRPr="00880538" w:rsidRDefault="00D70D43" w:rsidP="00D70D43">
      <w:pPr>
        <w:ind w:left="3"/>
        <w:jc w:val="both"/>
        <w:rPr>
          <w:rFonts w:eastAsia="Times New Roman" w:cstheme="minorHAnsi"/>
        </w:rPr>
      </w:pPr>
    </w:p>
    <w:p w14:paraId="64A695FA"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The component will also assess national and municipal learning needs. This includes conducting a national and municipal level learning needs assessment on waste management and developing a learning strategy; identifying national and municipal institutions and other stakeholders to be trained; and identifying national and municipal institutions (such as tertiary and vocational training institutions) to conduct training to ensure sustainability and replicability. </w:t>
      </w:r>
    </w:p>
    <w:p w14:paraId="65D47CBF" w14:textId="77777777" w:rsidR="00D70D43" w:rsidRPr="00880538" w:rsidRDefault="00D70D43" w:rsidP="00D70D43">
      <w:pPr>
        <w:ind w:left="3"/>
        <w:jc w:val="both"/>
        <w:rPr>
          <w:rFonts w:eastAsia="Times New Roman" w:cstheme="minorHAnsi"/>
        </w:rPr>
      </w:pPr>
    </w:p>
    <w:p w14:paraId="23C29EEE" w14:textId="77777777" w:rsidR="00D70D43" w:rsidRPr="00D861D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861D9">
        <w:rPr>
          <w:rFonts w:eastAsia="Times New Roman" w:cstheme="minorHAnsi"/>
        </w:rPr>
        <w:t xml:space="preserve">This component will also strengthen current environmental policies and regulations and monitoring capacity. This will be through conducting a comprehensive gap assessment of the national policy and legislative framework and relevant municipal bylaws regarding municipal, POPs, and Hg waste and e-waste; developing new/amended national legislation and regulations and municipal bylaws, where appropriate, that contain provisions that address POPs, Hg, e-waste, and other releases from solid waste in line with the Stockholm Convention; identifying indicators and end points for inspection officers to monitor the effectiveness of emission and release reductions; and assessing capacity gaps. </w:t>
      </w:r>
      <w:r w:rsidRPr="00D861D9">
        <w:rPr>
          <w:rFonts w:eastAsia="MS Mincho" w:cstheme="minorHAnsi"/>
        </w:rPr>
        <w:t xml:space="preserve"> </w:t>
      </w:r>
      <w:r w:rsidRPr="00D861D9">
        <w:rPr>
          <w:rFonts w:eastAsia="Times New Roman" w:cstheme="minorHAnsi"/>
        </w:rPr>
        <w:t xml:space="preserve">In addition, the component will support the development of guidelines and ensure robust monitoring systems are in </w:t>
      </w:r>
      <w:r w:rsidRPr="00D861D9">
        <w:rPr>
          <w:rFonts w:eastAsia="Times New Roman" w:cstheme="minorHAnsi"/>
        </w:rPr>
        <w:lastRenderedPageBreak/>
        <w:t xml:space="preserve">place.  </w:t>
      </w:r>
    </w:p>
    <w:p w14:paraId="7C57C761" w14:textId="77777777" w:rsidR="00D70D43" w:rsidRPr="00880538" w:rsidRDefault="00D70D43" w:rsidP="00D70D43">
      <w:pPr>
        <w:ind w:left="720"/>
        <w:contextualSpacing/>
        <w:rPr>
          <w:rFonts w:eastAsia="Times New Roman" w:cstheme="minorHAnsi"/>
          <w:b/>
        </w:rPr>
      </w:pPr>
    </w:p>
    <w:p w14:paraId="4E88D9E9" w14:textId="77777777" w:rsidR="00D70D43" w:rsidRPr="00D861D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861D9">
        <w:rPr>
          <w:rFonts w:eastAsia="Times New Roman" w:cstheme="minorHAnsi"/>
          <w:i/>
          <w:u w:val="single"/>
        </w:rPr>
        <w:t>Expected outputs of Component 2</w:t>
      </w:r>
      <w:r w:rsidRPr="00D861D9">
        <w:rPr>
          <w:rFonts w:eastAsia="Times New Roman" w:cstheme="minorHAnsi"/>
          <w:bCs/>
          <w:i/>
          <w:u w:val="single"/>
        </w:rPr>
        <w:t>:</w:t>
      </w:r>
    </w:p>
    <w:p w14:paraId="731C9B47" w14:textId="77777777" w:rsidR="00D70D43" w:rsidRPr="00880538" w:rsidRDefault="00D70D43" w:rsidP="002E38A2">
      <w:pPr>
        <w:widowControl w:val="0"/>
        <w:numPr>
          <w:ilvl w:val="0"/>
          <w:numId w:val="7"/>
        </w:numPr>
        <w:autoSpaceDE w:val="0"/>
        <w:autoSpaceDN w:val="0"/>
        <w:adjustRightInd w:val="0"/>
        <w:spacing w:after="0" w:line="240" w:lineRule="auto"/>
        <w:contextualSpacing/>
        <w:rPr>
          <w:rFonts w:eastAsia="Times New Roman" w:cstheme="minorHAnsi"/>
        </w:rPr>
      </w:pPr>
      <w:r w:rsidRPr="00880538">
        <w:rPr>
          <w:rFonts w:eastAsia="Times New Roman" w:cstheme="minorHAnsi"/>
        </w:rPr>
        <w:t>Policy commitment and regulations for improved management of urban and e-waste developed.</w:t>
      </w:r>
    </w:p>
    <w:p w14:paraId="2B7DF89E" w14:textId="77777777" w:rsidR="00D70D43" w:rsidRPr="00880538" w:rsidRDefault="00D70D43" w:rsidP="002E38A2">
      <w:pPr>
        <w:widowControl w:val="0"/>
        <w:numPr>
          <w:ilvl w:val="0"/>
          <w:numId w:val="7"/>
        </w:numPr>
        <w:autoSpaceDE w:val="0"/>
        <w:autoSpaceDN w:val="0"/>
        <w:adjustRightInd w:val="0"/>
        <w:spacing w:after="0" w:line="240" w:lineRule="auto"/>
        <w:contextualSpacing/>
        <w:rPr>
          <w:rFonts w:eastAsia="Times New Roman" w:cstheme="minorHAnsi"/>
          <w:bCs/>
        </w:rPr>
      </w:pPr>
      <w:bookmarkStart w:id="26" w:name="_Hlk10644264"/>
      <w:r w:rsidRPr="00880538">
        <w:rPr>
          <w:rFonts w:eastAsia="Times New Roman" w:cstheme="minorHAnsi"/>
        </w:rPr>
        <w:t xml:space="preserve">Strategy and implementation plan for promoting the reduction of emissions and releases of and exposure to POPs and priority chemicals prepared. </w:t>
      </w:r>
    </w:p>
    <w:bookmarkEnd w:id="26"/>
    <w:p w14:paraId="1AB788C3"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Comprehensive assessment of national and municipal institutional and technical framework for waste management undertaken. </w:t>
      </w:r>
    </w:p>
    <w:p w14:paraId="0E065FA2"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Value Chain Analysis (VCA) covering recycling, compositing, and the commercialization of recycled and composted materials undertaken. </w:t>
      </w:r>
    </w:p>
    <w:p w14:paraId="258F8592"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Appropriate BAT/BEP for strengthened waste management identified and analyzed. </w:t>
      </w:r>
    </w:p>
    <w:p w14:paraId="0E0402F7"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Comprehensive gap assessment of the national policy and legislative framework, and relevant municipal bylaws regarding municipal, POPs, and Hg waste, and e-waste conducted. </w:t>
      </w:r>
    </w:p>
    <w:p w14:paraId="4AF277CD" w14:textId="77777777" w:rsidR="00D70D43" w:rsidRPr="00880538" w:rsidRDefault="00D70D43" w:rsidP="002E38A2">
      <w:pPr>
        <w:widowControl w:val="0"/>
        <w:numPr>
          <w:ilvl w:val="0"/>
          <w:numId w:val="7"/>
        </w:numPr>
        <w:tabs>
          <w:tab w:val="left" w:pos="0"/>
        </w:tabs>
        <w:autoSpaceDE w:val="0"/>
        <w:autoSpaceDN w:val="0"/>
        <w:adjustRightInd w:val="0"/>
        <w:spacing w:after="0" w:line="240" w:lineRule="auto"/>
        <w:jc w:val="both"/>
        <w:rPr>
          <w:rFonts w:eastAsia="Times New Roman" w:cstheme="minorHAnsi"/>
        </w:rPr>
      </w:pPr>
      <w:r w:rsidRPr="00880538">
        <w:rPr>
          <w:rFonts w:eastAsia="Times New Roman" w:cstheme="minorHAnsi"/>
        </w:rPr>
        <w:t xml:space="preserve">Strengthening of legislation and regulations and municipal bylaws for improved environmental health risk mitigation. </w:t>
      </w:r>
    </w:p>
    <w:p w14:paraId="52EAC48B" w14:textId="77777777" w:rsidR="00D70D43" w:rsidRPr="00880538" w:rsidRDefault="00D70D43" w:rsidP="002E38A2">
      <w:pPr>
        <w:widowControl w:val="0"/>
        <w:numPr>
          <w:ilvl w:val="0"/>
          <w:numId w:val="7"/>
        </w:numPr>
        <w:autoSpaceDE w:val="0"/>
        <w:autoSpaceDN w:val="0"/>
        <w:adjustRightInd w:val="0"/>
        <w:spacing w:after="0" w:line="240" w:lineRule="auto"/>
        <w:jc w:val="both"/>
        <w:rPr>
          <w:rFonts w:eastAsia="Times New Roman" w:cstheme="minorHAnsi"/>
          <w:b/>
        </w:rPr>
      </w:pPr>
      <w:r w:rsidRPr="00880538">
        <w:rPr>
          <w:rFonts w:eastAsia="Times New Roman" w:cstheme="minorHAnsi"/>
        </w:rPr>
        <w:t xml:space="preserve">Guidelines developed to </w:t>
      </w:r>
      <w:r w:rsidRPr="00880538">
        <w:rPr>
          <w:rFonts w:eastAsia="Times New Roman" w:cstheme="minorHAnsi"/>
          <w:iCs/>
        </w:rPr>
        <w:t xml:space="preserve">ensure robust </w:t>
      </w:r>
      <w:r w:rsidRPr="00880538">
        <w:rPr>
          <w:rFonts w:eastAsia="Times New Roman" w:cstheme="minorHAnsi"/>
        </w:rPr>
        <w:t>monitoring systems</w:t>
      </w:r>
      <w:r w:rsidRPr="00880538">
        <w:rPr>
          <w:rFonts w:eastAsia="Times New Roman" w:cstheme="minorHAnsi"/>
          <w:bCs/>
        </w:rPr>
        <w:t xml:space="preserve"> are in place.</w:t>
      </w:r>
    </w:p>
    <w:p w14:paraId="1382F6DE" w14:textId="77777777" w:rsidR="00D70D43" w:rsidRPr="00880538" w:rsidRDefault="00D70D43" w:rsidP="00D70D43">
      <w:pPr>
        <w:ind w:left="3"/>
        <w:jc w:val="both"/>
        <w:rPr>
          <w:rFonts w:eastAsia="Times New Roman" w:cstheme="minorHAnsi"/>
          <w:b/>
        </w:rPr>
      </w:pPr>
    </w:p>
    <w:p w14:paraId="5C391670" w14:textId="77777777" w:rsidR="00D70D43" w:rsidRPr="00D861D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861D9">
        <w:rPr>
          <w:rFonts w:eastAsia="Times New Roman" w:cstheme="minorHAnsi"/>
          <w:b/>
        </w:rPr>
        <w:t xml:space="preserve">Component 3: Demonstrating application of technological tools and economic approaches: </w:t>
      </w:r>
      <w:r w:rsidRPr="00D861D9">
        <w:rPr>
          <w:rFonts w:eastAsia="Times New Roman" w:cstheme="minorHAnsi"/>
          <w:b/>
          <w:bCs/>
        </w:rPr>
        <w:t xml:space="preserve">Zambia (US$ 4,26 million GEF). </w:t>
      </w:r>
      <w:r w:rsidRPr="00D861D9">
        <w:rPr>
          <w:rFonts w:eastAsia="Times New Roman" w:cstheme="minorHAnsi"/>
          <w:bCs/>
        </w:rPr>
        <w:t xml:space="preserve">The project will focus on improving the waste value chain and reducing environmental health risks to workers and surrounding communities. </w:t>
      </w:r>
    </w:p>
    <w:p w14:paraId="151EAED7" w14:textId="77777777" w:rsidR="00D70D43" w:rsidRPr="00880538" w:rsidRDefault="00D70D43" w:rsidP="00D70D43">
      <w:pPr>
        <w:ind w:left="720"/>
        <w:contextualSpacing/>
        <w:rPr>
          <w:rFonts w:eastAsia="Times New Roman" w:cstheme="minorHAnsi"/>
          <w:bCs/>
        </w:rPr>
      </w:pPr>
    </w:p>
    <w:p w14:paraId="55263403" w14:textId="77777777" w:rsidR="00D70D43" w:rsidRPr="006D68C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bCs/>
        </w:rPr>
        <w:t xml:space="preserve">Several measures will reduce UPOPS releases from solid waste by strongly limiting the quantities of waste subject to uncontrolled burning. Key outcomes include: (i) improved management of waste collection and transportation; (ii) improved treatment of POPs and hazardous waste; and (iii) improved recycling of wastes. </w:t>
      </w:r>
    </w:p>
    <w:p w14:paraId="35A642FD" w14:textId="77777777" w:rsidR="00D70D43" w:rsidRPr="00880538" w:rsidRDefault="00D70D43" w:rsidP="00D70D43">
      <w:pPr>
        <w:ind w:left="720"/>
        <w:contextualSpacing/>
        <w:rPr>
          <w:rFonts w:eastAsia="Times New Roman" w:cstheme="minorHAnsi"/>
          <w:bCs/>
        </w:rPr>
      </w:pPr>
    </w:p>
    <w:p w14:paraId="4664ACF7" w14:textId="77777777" w:rsidR="00D70D43" w:rsidRPr="006D68C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bCs/>
        </w:rPr>
        <w:t>The current dumpsite will be upgraded into a sanitary landfill (through IDA financing), and a feasibility study of short- and long-term BAT/BEP actions will be supported to determine the volumes and types of waste and economic viability for private sector collaboration. Following a waste characterization study in the target area (initiated under the IDA project), this component will support the upgrading of an operating landfill to a recycling facility allowing for additional waste streams and value generation for sustainable growth of the sector. The component will also ensure segregation between hazardous contaminated wastes from other non-hazardous waste streams.</w:t>
      </w:r>
    </w:p>
    <w:p w14:paraId="1F4C5D65" w14:textId="77777777" w:rsidR="00D70D43" w:rsidRPr="00880538" w:rsidRDefault="00D70D43" w:rsidP="00D70D43">
      <w:pPr>
        <w:ind w:left="720"/>
        <w:contextualSpacing/>
        <w:rPr>
          <w:rFonts w:eastAsia="Times New Roman" w:cstheme="minorHAnsi"/>
          <w:bCs/>
        </w:rPr>
      </w:pPr>
    </w:p>
    <w:p w14:paraId="4FA7A11D" w14:textId="77777777" w:rsidR="00D70D43" w:rsidRPr="006D68C9"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bCs/>
        </w:rPr>
        <w:t xml:space="preserve">This component will explore ways to reduce the impact of chemical pollution emanating from unregulated landfills in an economic and socially acceptable manner and support the development of communication tools to raise awareness on health costs and benefits of pollution management. This includes community outreach to increase public understanding and visibility of the scale and environmental health impacts. </w:t>
      </w:r>
      <w:r w:rsidRPr="004F1CC0">
        <w:rPr>
          <w:rFonts w:eastAsia="Times New Roman" w:cstheme="minorHAnsi"/>
          <w:bCs/>
        </w:rPr>
        <w:t>The component will support training and community awareness promotion, especially training existing rag-pickers and providing them with occupational health and safety training and equipment.</w:t>
      </w:r>
    </w:p>
    <w:p w14:paraId="6CDCC2EE" w14:textId="77777777" w:rsidR="00D70D43" w:rsidRPr="00880538" w:rsidRDefault="00D70D43" w:rsidP="00D70D43">
      <w:pPr>
        <w:ind w:left="720"/>
        <w:contextualSpacing/>
        <w:rPr>
          <w:rFonts w:eastAsia="Times New Roman" w:cstheme="minorHAnsi"/>
          <w:bCs/>
        </w:rPr>
      </w:pPr>
    </w:p>
    <w:p w14:paraId="6C2F05CA" w14:textId="77777777" w:rsidR="00D70D43" w:rsidRPr="004F1CC0"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F1CC0">
        <w:rPr>
          <w:rFonts w:eastAsia="Times New Roman" w:cstheme="minorHAnsi"/>
          <w:bCs/>
        </w:rPr>
        <w:t xml:space="preserve">This component will provide support to undertake an economic viability and waste value chain study. Several institutions in Zambia have been involved in such studies and have expressed interest in such work (e.g., University of Zambia- school of Economics, Copperbelt University -school of Business, National Policy </w:t>
      </w:r>
      <w:r w:rsidRPr="004F1CC0">
        <w:rPr>
          <w:rFonts w:eastAsia="Times New Roman" w:cstheme="minorHAnsi"/>
          <w:bCs/>
        </w:rPr>
        <w:lastRenderedPageBreak/>
        <w:t xml:space="preserve">Research Institute). </w:t>
      </w:r>
    </w:p>
    <w:p w14:paraId="62FE14C9" w14:textId="77777777" w:rsidR="00D70D43" w:rsidRPr="00880538" w:rsidRDefault="00D70D43" w:rsidP="00D70D43">
      <w:pPr>
        <w:ind w:left="720"/>
        <w:contextualSpacing/>
        <w:rPr>
          <w:rFonts w:eastAsia="Times New Roman" w:cstheme="minorHAnsi"/>
          <w:bCs/>
        </w:rPr>
      </w:pPr>
    </w:p>
    <w:p w14:paraId="48704D58" w14:textId="77777777" w:rsidR="00D70D43" w:rsidRPr="00880538" w:rsidRDefault="00D70D43" w:rsidP="002E38A2">
      <w:pPr>
        <w:widowControl w:val="0"/>
        <w:numPr>
          <w:ilvl w:val="0"/>
          <w:numId w:val="20"/>
        </w:numPr>
        <w:autoSpaceDE w:val="0"/>
        <w:autoSpaceDN w:val="0"/>
        <w:adjustRightInd w:val="0"/>
        <w:spacing w:after="0" w:line="240" w:lineRule="auto"/>
        <w:jc w:val="both"/>
        <w:rPr>
          <w:rFonts w:eastAsia="Times New Roman" w:cstheme="minorHAnsi"/>
          <w:bCs/>
        </w:rPr>
      </w:pPr>
      <w:r w:rsidRPr="00880538">
        <w:rPr>
          <w:rFonts w:eastAsia="Times New Roman" w:cstheme="minorHAnsi"/>
          <w:bCs/>
        </w:rPr>
        <w:t xml:space="preserve">The component will support the preparation and implementation of demonstration pilot projects in identified facilities which are already involved in e-waste and waste recycling business (e.g., </w:t>
      </w:r>
      <w:proofErr w:type="spellStart"/>
      <w:r w:rsidRPr="00880538">
        <w:rPr>
          <w:rFonts w:eastAsia="Times New Roman" w:cstheme="minorHAnsi"/>
          <w:bCs/>
        </w:rPr>
        <w:t>Metalco</w:t>
      </w:r>
      <w:proofErr w:type="spellEnd"/>
      <w:r w:rsidRPr="00880538">
        <w:rPr>
          <w:rFonts w:eastAsia="Times New Roman" w:cstheme="minorHAnsi"/>
          <w:bCs/>
        </w:rPr>
        <w:t xml:space="preserve">, Wonderful Ceiling, Zambezi Paper Mills, </w:t>
      </w:r>
      <w:proofErr w:type="spellStart"/>
      <w:r w:rsidRPr="00880538">
        <w:rPr>
          <w:rFonts w:eastAsia="Times New Roman" w:cstheme="minorHAnsi"/>
          <w:bCs/>
        </w:rPr>
        <w:t>Zesco-Elsayeld</w:t>
      </w:r>
      <w:proofErr w:type="spellEnd"/>
      <w:r w:rsidRPr="00880538">
        <w:rPr>
          <w:rFonts w:eastAsia="Times New Roman" w:cstheme="minorHAnsi"/>
          <w:bCs/>
        </w:rPr>
        <w:t>). The criteria for selection of the Component 3 demonstration sites will be further detailed in the Project Operational Manual and will meet eligibility criteria as per the EHPM Project ESMF. The component will also finance the evaluation of the pilot projects and technologies as well as the assessment of their economic viability in the Zambian context. This component will co-finance two successful pilot projects and demonstrated technologies.</w:t>
      </w:r>
    </w:p>
    <w:p w14:paraId="1753F925" w14:textId="77777777" w:rsidR="00D70D43" w:rsidRPr="00880538" w:rsidRDefault="00D70D43" w:rsidP="00D70D43">
      <w:pPr>
        <w:jc w:val="both"/>
        <w:rPr>
          <w:rFonts w:eastAsia="Times New Roman" w:cstheme="minorHAnsi"/>
          <w:b/>
          <w:bCs/>
        </w:rPr>
      </w:pPr>
    </w:p>
    <w:p w14:paraId="0B89C18F"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6D68C9">
        <w:rPr>
          <w:rFonts w:eastAsia="Times New Roman" w:cstheme="minorHAnsi"/>
          <w:i/>
          <w:u w:val="single"/>
        </w:rPr>
        <w:t>Expected outputs of Component 3</w:t>
      </w:r>
      <w:r w:rsidRPr="006D68C9">
        <w:rPr>
          <w:rFonts w:eastAsia="Times New Roman" w:cstheme="minorHAnsi"/>
          <w:bCs/>
          <w:i/>
          <w:u w:val="single"/>
        </w:rPr>
        <w:t>:</w:t>
      </w:r>
    </w:p>
    <w:p w14:paraId="3ED33882" w14:textId="77777777" w:rsidR="00D70D43" w:rsidRDefault="00D70D43" w:rsidP="00D70D43">
      <w:pPr>
        <w:pStyle w:val="ListParagraph"/>
        <w:rPr>
          <w:rFonts w:eastAsia="Times New Roman" w:cstheme="minorHAnsi"/>
          <w:bCs/>
        </w:rPr>
      </w:pPr>
    </w:p>
    <w:p w14:paraId="482B977C"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Feasibility study of short- and long-term BAT/BEP actions supported to determine volumes and types of waste and economic viability for private sector collaboration.</w:t>
      </w:r>
    </w:p>
    <w:p w14:paraId="4B5F5C18"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 xml:space="preserve">Upgrading of an operating landfill to a recycling facility supported. </w:t>
      </w:r>
    </w:p>
    <w:p w14:paraId="245CDBB6"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Communication tools developed to raise awareness about the health costs and benefits of pollution management.</w:t>
      </w:r>
    </w:p>
    <w:p w14:paraId="1965AA8A"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rPr>
        <w:t>Community awareness promoted on occupational health and safety training and equipment.</w:t>
      </w:r>
    </w:p>
    <w:p w14:paraId="6C4C264E"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rPr>
        <w:t xml:space="preserve">Existing rag-pickers and other stakeholders trained. </w:t>
      </w:r>
    </w:p>
    <w:p w14:paraId="406664B0"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Support provided to undertake an economic viability and waste value chain study.</w:t>
      </w:r>
    </w:p>
    <w:p w14:paraId="33319293"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 xml:space="preserve">Demonstration pilot projects in identified facilities which are involved in e-waste and waste recycling business supported. </w:t>
      </w:r>
    </w:p>
    <w:p w14:paraId="0FD0D4B1"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Cs/>
        </w:rPr>
        <w:t>Concept and prototype technology demonstration plants developed.</w:t>
      </w:r>
    </w:p>
    <w:p w14:paraId="597C421F" w14:textId="77777777" w:rsidR="00D70D43" w:rsidRDefault="00D70D43" w:rsidP="00D70D43">
      <w:pPr>
        <w:ind w:left="3"/>
        <w:jc w:val="both"/>
        <w:rPr>
          <w:rFonts w:eastAsia="Times New Roman" w:cstheme="minorHAnsi"/>
        </w:rPr>
      </w:pPr>
    </w:p>
    <w:p w14:paraId="0F018578"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
          <w:bCs/>
        </w:rPr>
        <w:t>Component 4: Project coordination and management (US$ 393,185 GEF).</w:t>
      </w:r>
      <w:r w:rsidRPr="00730E40">
        <w:rPr>
          <w:rFonts w:eastAsia="Times New Roman" w:cstheme="minorHAnsi"/>
          <w:bCs/>
        </w:rPr>
        <w:t xml:space="preserve"> This component will provide the resources necessary for effective project coordination and management and monitoring and evaluation at the regional, national, and local levels. It will cover the cost for project management, implementation, and supervision of project activities, administration of procurement and financial management, monitoring and evaluation, as well as monitoring of safeguards compliance. The component will cover the cost of the Project Coordination Unit (PCU) set up under ZEMA. It will strengthen the existing PCU under the Zambia Mining and Environmental Remediation and Improvement Project (ZMERIP - P154683) with additional staff to cover activities specific to this project, and assist in preparing, implementing, and monitoring approved activities.  </w:t>
      </w:r>
      <w:bookmarkStart w:id="27" w:name="_Hlk531105377"/>
      <w:bookmarkEnd w:id="25"/>
    </w:p>
    <w:p w14:paraId="4869F6C7" w14:textId="77777777" w:rsidR="00D70D43" w:rsidRPr="00730E40" w:rsidRDefault="00D70D43" w:rsidP="00D70D43">
      <w:pPr>
        <w:ind w:left="3"/>
        <w:jc w:val="both"/>
        <w:rPr>
          <w:rFonts w:eastAsia="Times New Roman" w:cstheme="minorHAnsi"/>
        </w:rPr>
      </w:pPr>
    </w:p>
    <w:p w14:paraId="242D1440"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
          <w:bCs/>
        </w:rPr>
        <w:t xml:space="preserve">Project Beneficiaries: </w:t>
      </w:r>
      <w:r w:rsidRPr="00730E40">
        <w:rPr>
          <w:rFonts w:eastAsia="Times New Roman" w:cstheme="minorHAnsi"/>
        </w:rPr>
        <w:t>The development of this project involved significant consultations with stakeholders in Zambia. The EHPMP will also work closely with community-based organizations, private sectors, NGOs and local communities, who are invested in pollution management issues, including opportunities for income generation and green job opportunities. This engagement will go beyond consultation to actively involve communities in the design and implementation of project activities and in the learning across the Program. Special attention will be given to ensure the participation of indigenous people and local communities at the site level. It has been obvious that indigenous and local communities play a crucial role in environmental governance as traditional knowledge and practices can be used to manage and preserve natural areas as well as restore polluted or contaminated areas</w:t>
      </w:r>
      <w:r w:rsidRPr="00730E40">
        <w:rPr>
          <w:rFonts w:eastAsia="Times New Roman" w:cstheme="minorHAnsi"/>
          <w:b/>
          <w:bCs/>
        </w:rPr>
        <w:t>.</w:t>
      </w:r>
      <w:bookmarkEnd w:id="27"/>
    </w:p>
    <w:p w14:paraId="706E9A90" w14:textId="77777777" w:rsidR="00D70D43" w:rsidRDefault="00D70D43" w:rsidP="00D70D43">
      <w:pPr>
        <w:pStyle w:val="ListParagraph"/>
        <w:rPr>
          <w:rFonts w:eastAsia="Times New Roman" w:cstheme="minorHAnsi"/>
          <w:b/>
        </w:rPr>
      </w:pPr>
    </w:p>
    <w:p w14:paraId="5E2C72CF"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730E40">
        <w:rPr>
          <w:rFonts w:eastAsia="Times New Roman" w:cstheme="minorHAnsi"/>
          <w:b/>
        </w:rPr>
        <w:t>Rationale for Bank Involvement and Role of Partners:</w:t>
      </w:r>
      <w:r w:rsidRPr="00730E40">
        <w:rPr>
          <w:rFonts w:eastAsia="Times New Roman" w:cstheme="minorHAnsi"/>
          <w:bCs/>
        </w:rPr>
        <w:t xml:space="preserve"> The Bank will use its leverage to convene the highest levels of national governments, led by Ministries of Finance, to a common platform to help accelerate action toward follow-up investment priorities. Such platform will enable the participating countries to strengthen the policy dialogue and identifying solutions to focus on meeting the Convention obligations and promote increased contributions from the private sector. This will allow GEF interventions to be sustained after the Project is completed.</w:t>
      </w:r>
    </w:p>
    <w:p w14:paraId="6A3D49A3" w14:textId="77777777" w:rsidR="00D70D43" w:rsidRDefault="00D70D43" w:rsidP="00D70D43">
      <w:pPr>
        <w:pStyle w:val="ListParagraph"/>
        <w:rPr>
          <w:rFonts w:eastAsia="Times New Roman" w:cstheme="minorHAnsi"/>
          <w:b/>
        </w:rPr>
      </w:pPr>
    </w:p>
    <w:p w14:paraId="4C3ED545" w14:textId="75814162" w:rsidR="00D70D43" w:rsidRDefault="008A2381" w:rsidP="002E38A2">
      <w:pPr>
        <w:widowControl w:val="0"/>
        <w:numPr>
          <w:ilvl w:val="0"/>
          <w:numId w:val="20"/>
        </w:numPr>
        <w:autoSpaceDE w:val="0"/>
        <w:autoSpaceDN w:val="0"/>
        <w:adjustRightInd w:val="0"/>
        <w:spacing w:after="0" w:line="240" w:lineRule="auto"/>
        <w:jc w:val="both"/>
        <w:rPr>
          <w:rFonts w:eastAsia="Times New Roman" w:cstheme="minorHAnsi"/>
        </w:rPr>
      </w:pPr>
      <w:r w:rsidRPr="001445F8">
        <w:rPr>
          <w:rFonts w:eastAsia="Times New Roman" w:cstheme="minorHAnsi"/>
          <w:b/>
        </w:rPr>
        <w:t>Incremental</w:t>
      </w:r>
      <w:r>
        <w:rPr>
          <w:rFonts w:eastAsia="Times New Roman" w:cstheme="minorHAnsi"/>
          <w:b/>
        </w:rPr>
        <w:t xml:space="preserve"> Re</w:t>
      </w:r>
      <w:r w:rsidRPr="001445F8">
        <w:rPr>
          <w:rFonts w:eastAsia="Times New Roman" w:cstheme="minorHAnsi"/>
          <w:b/>
        </w:rPr>
        <w:t>asoning and co-financing</w:t>
      </w:r>
      <w:r w:rsidR="00D70D43" w:rsidRPr="0046436B">
        <w:rPr>
          <w:rFonts w:eastAsia="Times New Roman" w:cstheme="minorHAnsi"/>
          <w:b/>
        </w:rPr>
        <w:t>:</w:t>
      </w:r>
      <w:r w:rsidR="00D70D43" w:rsidRPr="0046436B">
        <w:rPr>
          <w:rFonts w:eastAsia="Times New Roman" w:cstheme="minorHAnsi"/>
        </w:rPr>
        <w:t xml:space="preserve"> The World Bank </w:t>
      </w:r>
      <w:proofErr w:type="gramStart"/>
      <w:r w:rsidR="00D70D43" w:rsidRPr="0046436B">
        <w:rPr>
          <w:rFonts w:eastAsia="Times New Roman" w:cstheme="minorHAnsi"/>
        </w:rPr>
        <w:t>is</w:t>
      </w:r>
      <w:proofErr w:type="gramEnd"/>
      <w:r w:rsidR="00D70D43" w:rsidRPr="0046436B">
        <w:rPr>
          <w:rFonts w:eastAsia="Times New Roman" w:cstheme="minorHAnsi"/>
        </w:rPr>
        <w:t xml:space="preserve"> supporting the Government of Zambia on a Mining and Environmental Remediation and Improvement Project</w:t>
      </w:r>
      <w:r w:rsidR="00A01144">
        <w:rPr>
          <w:rFonts w:eastAsia="Times New Roman" w:cstheme="minorHAnsi"/>
        </w:rPr>
        <w:t xml:space="preserve"> (ZMERIP, US$60 M)</w:t>
      </w:r>
      <w:r w:rsidR="00D70D43" w:rsidRPr="0046436B">
        <w:rPr>
          <w:rFonts w:eastAsia="Times New Roman" w:cstheme="minorHAnsi"/>
        </w:rPr>
        <w:t xml:space="preserve">. Its objective is to reduce environmental health risks and lead exposure to the local population associated with the mining sector in critically polluted areas in </w:t>
      </w:r>
      <w:proofErr w:type="spellStart"/>
      <w:r w:rsidR="00D70D43" w:rsidRPr="0046436B">
        <w:rPr>
          <w:rFonts w:eastAsia="Times New Roman" w:cstheme="minorHAnsi"/>
        </w:rPr>
        <w:t>Kabwe</w:t>
      </w:r>
      <w:proofErr w:type="spellEnd"/>
      <w:r w:rsidR="00D70D43" w:rsidRPr="0046436B">
        <w:rPr>
          <w:rFonts w:eastAsia="Times New Roman" w:cstheme="minorHAnsi"/>
        </w:rPr>
        <w:t xml:space="preserve"> and Copperbelt provinces through improved capacity of the key institutions at the national, subnational and local levels. Its main objectives include strengthening environmental management, improving job opportunities for affected people and optimizing existing financial mechanisms to identify, finance, implement and monitor feasible environmental and social measures for prioritized contaminated areas. </w:t>
      </w:r>
      <w:proofErr w:type="spellStart"/>
      <w:r w:rsidR="00D70D43" w:rsidRPr="0046436B">
        <w:rPr>
          <w:rFonts w:eastAsia="Times New Roman" w:cstheme="minorHAnsi"/>
        </w:rPr>
        <w:t>Kabwe</w:t>
      </w:r>
      <w:proofErr w:type="spellEnd"/>
      <w:r w:rsidR="00D70D43" w:rsidRPr="0046436B">
        <w:rPr>
          <w:rFonts w:eastAsia="Times New Roman" w:cstheme="minorHAnsi"/>
        </w:rPr>
        <w:t xml:space="preserve"> is one of the primary focus areas of the project, and investments will include remediation and rehabilitation of old mining tailing dumps and indiscriminate contaminated sites; strengthening of capacity of the </w:t>
      </w:r>
      <w:proofErr w:type="spellStart"/>
      <w:r w:rsidR="00D70D43" w:rsidRPr="0046436B">
        <w:rPr>
          <w:rFonts w:eastAsia="Times New Roman" w:cstheme="minorHAnsi"/>
        </w:rPr>
        <w:t>Kabwe</w:t>
      </w:r>
      <w:proofErr w:type="spellEnd"/>
      <w:r w:rsidR="00D70D43" w:rsidRPr="0046436B">
        <w:rPr>
          <w:rFonts w:eastAsia="Times New Roman" w:cstheme="minorHAnsi"/>
        </w:rPr>
        <w:t xml:space="preserve"> Municipal council for improved environmental monitoring of different categories of waste and health interventions. The activities under the proposed GEF project have been designed to be complementary to the Bank supported ZMERIP.</w:t>
      </w:r>
    </w:p>
    <w:p w14:paraId="218896DA" w14:textId="77777777" w:rsidR="00D70D43" w:rsidRPr="0035664B" w:rsidRDefault="00D70D43" w:rsidP="00D70D43">
      <w:pPr>
        <w:ind w:left="3"/>
        <w:jc w:val="both"/>
        <w:rPr>
          <w:rFonts w:eastAsia="Times New Roman" w:cstheme="minorHAnsi"/>
        </w:rPr>
      </w:pPr>
    </w:p>
    <w:p w14:paraId="100FFA6C" w14:textId="77777777" w:rsidR="00D70D43" w:rsidRDefault="00D70D43" w:rsidP="00D70D43">
      <w:pPr>
        <w:ind w:left="-432"/>
        <w:jc w:val="both"/>
        <w:rPr>
          <w:rFonts w:eastAsia="Times New Roman" w:cstheme="minorHAnsi"/>
        </w:rPr>
      </w:pPr>
      <w:r w:rsidRPr="0035664B">
        <w:rPr>
          <w:rFonts w:eastAsia="Times New Roman" w:cstheme="minorHAnsi"/>
          <w:b/>
        </w:rPr>
        <w:t>F. Lessons Learned and Reflected in the Project Design</w:t>
      </w:r>
    </w:p>
    <w:p w14:paraId="2BBA0284"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35664B">
        <w:rPr>
          <w:rFonts w:eastAsia="Times New Roman" w:cstheme="minorHAnsi"/>
        </w:rPr>
        <w:t xml:space="preserve">In </w:t>
      </w:r>
      <w:proofErr w:type="spellStart"/>
      <w:r w:rsidRPr="0035664B">
        <w:rPr>
          <w:rFonts w:eastAsia="Times New Roman" w:cstheme="minorHAnsi"/>
        </w:rPr>
        <w:t>Kabwe</w:t>
      </w:r>
      <w:proofErr w:type="spellEnd"/>
      <w:r w:rsidRPr="0035664B">
        <w:rPr>
          <w:rFonts w:eastAsia="Times New Roman" w:cstheme="minorHAnsi"/>
        </w:rPr>
        <w:t xml:space="preserve"> hazardous waste streams are mixed with municipal solid wastes and then either dumped or burned in the open air. This raises issues of environmental and social justice, as the people most affected by such precarious practices are usually the poor who live and work adjacent to dump sites. The unsound management of waste can lead to mutually reinforcing undesirable effects. It can pollute and contaminate the environment, pose a threat to human health and represent a loss of resources in the form of both materials and energy. The management of waste in </w:t>
      </w:r>
      <w:proofErr w:type="spellStart"/>
      <w:r w:rsidRPr="0035664B">
        <w:rPr>
          <w:rFonts w:eastAsia="Times New Roman" w:cstheme="minorHAnsi"/>
        </w:rPr>
        <w:t>Kabwe</w:t>
      </w:r>
      <w:proofErr w:type="spellEnd"/>
      <w:r w:rsidRPr="0035664B">
        <w:rPr>
          <w:rFonts w:eastAsia="Times New Roman" w:cstheme="minorHAnsi"/>
        </w:rPr>
        <w:t xml:space="preserve"> is further complicated by the range and diversity of waste generators, from mining and a wide variety of manufacturers through agricultural and medical waste to household rubbish. In addition, the sound management of municipal waste constitutes a sizable and continuous part of a municipality’s budget. The poor of </w:t>
      </w:r>
      <w:proofErr w:type="spellStart"/>
      <w:r w:rsidRPr="0035664B">
        <w:rPr>
          <w:rFonts w:eastAsia="Times New Roman" w:cstheme="minorHAnsi"/>
        </w:rPr>
        <w:t>Kabwe</w:t>
      </w:r>
      <w:proofErr w:type="spellEnd"/>
      <w:r w:rsidRPr="0035664B">
        <w:rPr>
          <w:rFonts w:eastAsia="Times New Roman" w:cstheme="minorHAnsi"/>
        </w:rPr>
        <w:t xml:space="preserve"> face increased risks of exposure to toxic and hazardous chemicals and wastes, who routinely face such risks because of their occupation, poor living standards and lack of knowledge about the detrimental impacts of exposure to these chemicals and wastes. It has been documented that high capital investment in the solid waste management sector does not necessarily lead to improvements in the quality of service. On the other hand, substantial improvements can be achieved in many cases by making low-cost modifications in the existing system, with the focus being on increasing system efficiencies. Examples of such improvements are the efficient design of collection routes, modifications in the collection vehicles, reductions in equipment downtime, and public education, (e.g., education and communication leading to the production of less waste and the reduction of litter).</w:t>
      </w:r>
    </w:p>
    <w:p w14:paraId="19FF4B76" w14:textId="77777777" w:rsidR="00D70D43" w:rsidRDefault="00D70D43" w:rsidP="00D70D43">
      <w:pPr>
        <w:ind w:left="3"/>
        <w:jc w:val="both"/>
        <w:rPr>
          <w:rFonts w:eastAsia="Times New Roman" w:cstheme="minorHAnsi"/>
        </w:rPr>
      </w:pPr>
    </w:p>
    <w:p w14:paraId="71FEA89C"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proofErr w:type="spellStart"/>
      <w:r w:rsidRPr="00994467">
        <w:rPr>
          <w:rFonts w:eastAsia="Times New Roman" w:cstheme="minorHAnsi"/>
        </w:rPr>
        <w:t>Kabwe</w:t>
      </w:r>
      <w:proofErr w:type="spellEnd"/>
      <w:r w:rsidRPr="00994467">
        <w:rPr>
          <w:rFonts w:eastAsia="Times New Roman" w:cstheme="minorHAnsi"/>
        </w:rPr>
        <w:t xml:space="preserve"> does not have the infrastructure to deal with ever increasing complex waste streams and nor does </w:t>
      </w:r>
      <w:r w:rsidRPr="00994467">
        <w:rPr>
          <w:rFonts w:eastAsia="Times New Roman" w:cstheme="minorHAnsi"/>
        </w:rPr>
        <w:lastRenderedPageBreak/>
        <w:t xml:space="preserve">it have the regulatory and physical infrastructure to derive some rebate from the recyclable materials that are inevitably part of municipal waste. The municipality has insufficient capacity for the recovery and recycling of various types of waste streams such as plastics and lack of equipment to deal with the collection, transportation and disposal of waste. Awareness of the impact of hazardous waste on human health and the environment is also very poor. </w:t>
      </w:r>
    </w:p>
    <w:p w14:paraId="51975218" w14:textId="77777777" w:rsidR="00D70D43" w:rsidRDefault="00D70D43" w:rsidP="00D70D43">
      <w:pPr>
        <w:pStyle w:val="ListParagraph"/>
        <w:rPr>
          <w:rFonts w:eastAsia="Times New Roman" w:cstheme="minorHAnsi"/>
          <w:bCs/>
        </w:rPr>
      </w:pPr>
    </w:p>
    <w:p w14:paraId="35355270"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994467">
        <w:rPr>
          <w:rFonts w:eastAsia="Times New Roman" w:cstheme="minorHAnsi"/>
          <w:bCs/>
        </w:rPr>
        <w:t>The project will also build on the lessons learned from previously implemented projects on waste management and reduction of POPs such as the regional project entitled “Reducing UPOPs and Mercury Releases from the Health Sector in Africa” as Zambia took part in this project.</w:t>
      </w:r>
    </w:p>
    <w:p w14:paraId="59A865DB" w14:textId="77777777" w:rsidR="00D70D43" w:rsidRDefault="00D70D43" w:rsidP="00D70D43">
      <w:pPr>
        <w:jc w:val="both"/>
        <w:rPr>
          <w:rFonts w:eastAsia="Times New Roman" w:cstheme="minorHAnsi"/>
          <w:b/>
        </w:rPr>
      </w:pPr>
    </w:p>
    <w:p w14:paraId="2C58743A" w14:textId="77777777" w:rsidR="00D70D43" w:rsidRPr="008B3559" w:rsidRDefault="00D70D43" w:rsidP="00D70D43">
      <w:pPr>
        <w:jc w:val="both"/>
        <w:rPr>
          <w:rFonts w:eastAsia="Times New Roman" w:cstheme="minorHAnsi"/>
        </w:rPr>
      </w:pPr>
      <w:r w:rsidRPr="008B3559">
        <w:rPr>
          <w:rFonts w:eastAsia="Times New Roman" w:cstheme="minorHAnsi"/>
          <w:b/>
        </w:rPr>
        <w:t>Proposed alternative scenario</w:t>
      </w:r>
    </w:p>
    <w:p w14:paraId="4CFDF031"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rPr>
        <w:t>Under the proposed program this project will deliver at the national level and engage at the regional level through the regional coordination project</w:t>
      </w:r>
      <w:bookmarkStart w:id="28" w:name="_Hlk530990142"/>
      <w:r w:rsidRPr="00FE0507">
        <w:rPr>
          <w:rFonts w:eastAsia="Times New Roman" w:cstheme="minorHAnsi"/>
        </w:rPr>
        <w:t xml:space="preserve">. </w:t>
      </w:r>
      <w:r w:rsidRPr="00FE0507">
        <w:rPr>
          <w:rFonts w:eastAsia="Times New Roman" w:cstheme="minorHAnsi"/>
          <w:bCs/>
        </w:rPr>
        <w:t>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w:t>
      </w:r>
      <w:r w:rsidRPr="00880538">
        <w:rPr>
          <w:rFonts w:eastAsia="Times New Roman" w:cstheme="minorHAnsi"/>
          <w:vertAlign w:val="superscript"/>
        </w:rPr>
        <w:footnoteReference w:id="42"/>
      </w:r>
      <w:r w:rsidRPr="00FE0507">
        <w:rPr>
          <w:rFonts w:eastAsia="Times New Roman" w:cstheme="minorHAnsi"/>
          <w:bCs/>
        </w:rPr>
        <w:t xml:space="preserve"> on “Reducing Environmental Health Impact of Harmful Chemicals in Africa Region” and under the World Bank’s Pollution Management and Environmental Health (PMEH</w:t>
      </w:r>
      <w:r w:rsidRPr="00880538">
        <w:rPr>
          <w:rFonts w:eastAsia="Times New Roman" w:cstheme="minorHAnsi"/>
          <w:vertAlign w:val="superscript"/>
        </w:rPr>
        <w:footnoteReference w:id="43"/>
      </w:r>
      <w:r w:rsidRPr="00FE0507">
        <w:rPr>
          <w:rFonts w:eastAsia="Times New Roman" w:cstheme="minorHAnsi"/>
          <w:bCs/>
        </w:rPr>
        <w:t xml:space="preserve">) program validate a regional approach to addressing these issues. For example, the recently commissioned Mercury Trade study, under the GEF-MSP, revealed significant gap between the estimated consumption of mercury and official imports, indicating that there is major illegal trade across African countries. Illegal traffic is also prevalent with electronic waste. Unless there is a regionally-harmonized policy on mercury import licensing and its use in the ASGM sector, country-level interventions may not have the desired outcomes. </w:t>
      </w:r>
    </w:p>
    <w:p w14:paraId="44F45A12" w14:textId="77777777" w:rsidR="00D70D43" w:rsidRDefault="00D70D43" w:rsidP="00D70D43">
      <w:pPr>
        <w:ind w:left="3"/>
        <w:jc w:val="both"/>
        <w:rPr>
          <w:rFonts w:eastAsia="Times New Roman" w:cstheme="minorHAnsi"/>
        </w:rPr>
      </w:pPr>
    </w:p>
    <w:p w14:paraId="6D304F4F"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bCs/>
        </w:rPr>
        <w:t xml:space="preserve">EHPMP draws lessons from the Sustainable Artisanal Mining project implemented by the Swiss Agency for Development and Cooperation (SDC). The SDC project conducted a study on existing ASM knowledge sharing initiatives that concluded that a combination of information and knowledge sharing approaches (i.e. Social media, websites, study tours, training &amp; learning events, conferences, targeted workshops) was key to success. </w:t>
      </w:r>
    </w:p>
    <w:p w14:paraId="715F83AE" w14:textId="77777777" w:rsidR="00D70D43" w:rsidRDefault="00D70D43" w:rsidP="00D70D43">
      <w:pPr>
        <w:pStyle w:val="ListParagraph"/>
        <w:rPr>
          <w:rFonts w:eastAsia="Times New Roman" w:cstheme="minorHAnsi"/>
          <w:bCs/>
        </w:rPr>
      </w:pPr>
    </w:p>
    <w:p w14:paraId="784B9F52"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bCs/>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w:t>
      </w:r>
      <w:bookmarkStart w:id="29" w:name="_Hlk530990175"/>
      <w:bookmarkEnd w:id="28"/>
      <w:r w:rsidRPr="00FE0507">
        <w:rPr>
          <w:rFonts w:eastAsia="Times New Roman" w:cstheme="minorHAnsi"/>
          <w:bCs/>
        </w:rPr>
        <w:t xml:space="preserve">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082C0966" w14:textId="77777777" w:rsidR="00D70D43" w:rsidRDefault="00D70D43" w:rsidP="00D70D43">
      <w:pPr>
        <w:pStyle w:val="ListParagraph"/>
        <w:rPr>
          <w:rFonts w:eastAsia="Times New Roman" w:cstheme="minorHAnsi"/>
          <w:bCs/>
        </w:rPr>
      </w:pPr>
    </w:p>
    <w:p w14:paraId="1C71443B" w14:textId="77777777" w:rsidR="00D70D43" w:rsidRPr="00F43030"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E0507">
        <w:rPr>
          <w:rFonts w:eastAsia="Times New Roman" w:cstheme="minorHAnsi"/>
          <w:bCs/>
        </w:rPr>
        <w:t>The design of the EHPM Program draws lessons from the Community Artisanal and Small-Scale Mining (CASM) initiative specifically to inform the approach to the global ASM support. These inter alia include:</w:t>
      </w:r>
    </w:p>
    <w:p w14:paraId="40534B6C"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Strengthening of Information and knowledge sharing</w:t>
      </w:r>
      <w:r>
        <w:rPr>
          <w:rFonts w:eastAsia="Times New Roman" w:cstheme="minorHAnsi"/>
          <w:bCs/>
        </w:rPr>
        <w:t>;</w:t>
      </w:r>
    </w:p>
    <w:p w14:paraId="56814CB8" w14:textId="77777777" w:rsidR="00D70D43" w:rsidRPr="00F43030"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Enhancing regional and global partnerships to share services, capacity building and tools tailored for the specific needs of stakeholders</w:t>
      </w:r>
      <w:r>
        <w:rPr>
          <w:rFonts w:eastAsia="Times New Roman" w:cstheme="minorHAnsi"/>
          <w:bCs/>
        </w:rPr>
        <w:t>;</w:t>
      </w:r>
    </w:p>
    <w:p w14:paraId="39690A8F"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Monitoring and Evaluation to follow up on progress of information sharing and improve accountability; and</w:t>
      </w:r>
    </w:p>
    <w:p w14:paraId="0DC6D004" w14:textId="77777777" w:rsidR="00D70D43" w:rsidRDefault="00D70D43" w:rsidP="002E38A2">
      <w:pPr>
        <w:widowControl w:val="0"/>
        <w:numPr>
          <w:ilvl w:val="1"/>
          <w:numId w:val="20"/>
        </w:numPr>
        <w:autoSpaceDE w:val="0"/>
        <w:autoSpaceDN w:val="0"/>
        <w:adjustRightInd w:val="0"/>
        <w:spacing w:after="0" w:line="240" w:lineRule="auto"/>
        <w:jc w:val="both"/>
        <w:rPr>
          <w:rFonts w:eastAsia="Times New Roman" w:cstheme="minorHAnsi"/>
        </w:rPr>
      </w:pPr>
      <w:r w:rsidRPr="00F43030">
        <w:rPr>
          <w:rFonts w:eastAsia="Times New Roman" w:cstheme="minorHAnsi"/>
          <w:bCs/>
        </w:rPr>
        <w:t>Collaboration both within and outside the World Bank Group.</w:t>
      </w:r>
    </w:p>
    <w:p w14:paraId="1F26E88C" w14:textId="77777777" w:rsidR="00D70D43" w:rsidRDefault="00D70D43" w:rsidP="00D70D43">
      <w:pPr>
        <w:ind w:left="3"/>
        <w:jc w:val="both"/>
        <w:rPr>
          <w:rFonts w:eastAsia="Times New Roman" w:cstheme="minorHAnsi"/>
        </w:rPr>
      </w:pPr>
    </w:p>
    <w:p w14:paraId="32B3F417"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D6540B">
        <w:rPr>
          <w:rFonts w:eastAsia="Times New Roman" w:cstheme="minorHAnsi"/>
          <w:bCs/>
        </w:rPr>
        <w:t>The EHPMP will work closely with local communities and community-based organizations who are invested in and benefit from current practices in ASGM sector or from solid and electronic waste management, including opportunities for income generation and green jobs.</w:t>
      </w:r>
      <w:bookmarkEnd w:id="29"/>
    </w:p>
    <w:p w14:paraId="3CA7D6CB" w14:textId="77777777" w:rsidR="00D70D43" w:rsidRDefault="00D70D43" w:rsidP="00D70D43">
      <w:pPr>
        <w:jc w:val="both"/>
        <w:rPr>
          <w:rFonts w:eastAsia="Times New Roman" w:cstheme="minorHAnsi"/>
        </w:rPr>
      </w:pPr>
    </w:p>
    <w:p w14:paraId="0DE80BAE" w14:textId="77777777" w:rsidR="00D70D43" w:rsidRDefault="00D70D43" w:rsidP="00D70D43">
      <w:pPr>
        <w:jc w:val="both"/>
        <w:rPr>
          <w:rFonts w:eastAsia="Times New Roman" w:cstheme="minorHAnsi"/>
        </w:rPr>
      </w:pPr>
      <w:r w:rsidRPr="00456F83">
        <w:rPr>
          <w:rFonts w:eastAsia="Times New Roman" w:cstheme="minorHAnsi"/>
          <w:b/>
          <w:bCs/>
        </w:rPr>
        <w:t>IMPLEMENTATION ARRANGEMENTS</w:t>
      </w:r>
    </w:p>
    <w:p w14:paraId="3F56536E" w14:textId="3F234A3A" w:rsidR="00D70D43" w:rsidRPr="00372A5C" w:rsidRDefault="00D70D43" w:rsidP="00372A5C">
      <w:pPr>
        <w:jc w:val="both"/>
        <w:rPr>
          <w:rFonts w:eastAsia="Times New Roman" w:cstheme="minorHAnsi"/>
        </w:rPr>
      </w:pPr>
      <w:r w:rsidRPr="00456F83">
        <w:rPr>
          <w:rFonts w:eastAsia="SimSun" w:cstheme="minorHAnsi"/>
          <w:b/>
        </w:rPr>
        <w:t>A – Institutional and Implementation Arrangements</w:t>
      </w:r>
    </w:p>
    <w:p w14:paraId="6DCB7202" w14:textId="77777777" w:rsidR="00D70D43"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456F83">
        <w:rPr>
          <w:rFonts w:eastAsia="Times New Roman" w:cstheme="minorHAnsi"/>
        </w:rPr>
        <w:t xml:space="preserve">The Zambia national project will be implemented through collaboration and partnership directly and indirectly with stakeholders of waste management in Zambia. Participatory approaches will be prioritized to help stakeholders participate in project implementation to reduce environmental and health risks related to waste management in Zambia. Mobilizing and training beneficiaries will be considered, therefore helping to raise awareness, adopt alternative technologies, change perceptions, and identify economic approaches that are more profitable and capable of reducing environmental and health risks from harmful chemicals and waste exposure. </w:t>
      </w:r>
    </w:p>
    <w:p w14:paraId="30E1A8C5" w14:textId="77777777" w:rsidR="00D70D43" w:rsidRDefault="00D70D43" w:rsidP="00D70D43">
      <w:pPr>
        <w:ind w:left="3"/>
        <w:jc w:val="both"/>
        <w:rPr>
          <w:rFonts w:eastAsia="Times New Roman" w:cstheme="minorHAnsi"/>
        </w:rPr>
      </w:pPr>
    </w:p>
    <w:p w14:paraId="5C1452B9" w14:textId="77777777" w:rsidR="00D70D43" w:rsidRPr="0014054F"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B4333">
        <w:rPr>
          <w:rFonts w:eastAsia="Times New Roman" w:cstheme="minorHAnsi"/>
          <w:b/>
        </w:rPr>
        <w:t>National Steering Committee (NSC)</w:t>
      </w:r>
      <w:r w:rsidRPr="0014054F">
        <w:rPr>
          <w:rFonts w:eastAsia="Times New Roman" w:cstheme="minorHAnsi"/>
        </w:rPr>
        <w:t xml:space="preserve"> will comprise of Permanent Secretaries from the Ministries of Environment, Health, Local Governance, Finance, Mines and Mineral Development, ZMERIP National Coordinator, as well as Director General (DG) of Zambia Environmental Management Agency (ZEMA). The NSC will be Chaired by the Permanent Secretary of the Water Development Sanitation and Environmental Protection (MWDSEP). Functions of the NSC are to: i) provide overall guidance on policy matters that relate to the e-waste and hazardous material management; (ii) assess and provide approval of the annual work plans; and (iii) coordinate with the regional knowledge platform to facilitate knowledge sharing among the participating countries. The NSC will meet twice a year to facilitate smooth implementation of project activities. The National PSC in Zambia will be mainly responsible for approval of Annual Work Plans submitted by the ZEMA and will provide guidance and oversight during implementation.</w:t>
      </w:r>
    </w:p>
    <w:p w14:paraId="12B67626" w14:textId="77777777" w:rsidR="00D70D43" w:rsidRPr="0014054F" w:rsidRDefault="00D70D43" w:rsidP="00D70D43">
      <w:pPr>
        <w:ind w:left="3"/>
        <w:jc w:val="both"/>
        <w:rPr>
          <w:rFonts w:eastAsia="Times New Roman" w:cstheme="minorHAnsi"/>
        </w:rPr>
      </w:pPr>
    </w:p>
    <w:p w14:paraId="7CDF5BB4" w14:textId="77777777" w:rsidR="00D70D43" w:rsidRPr="0014054F" w:rsidRDefault="00D70D43" w:rsidP="002E38A2">
      <w:pPr>
        <w:widowControl w:val="0"/>
        <w:numPr>
          <w:ilvl w:val="0"/>
          <w:numId w:val="20"/>
        </w:numPr>
        <w:autoSpaceDE w:val="0"/>
        <w:autoSpaceDN w:val="0"/>
        <w:adjustRightInd w:val="0"/>
        <w:spacing w:after="0" w:line="240" w:lineRule="auto"/>
        <w:jc w:val="both"/>
        <w:rPr>
          <w:rFonts w:eastAsia="Times New Roman" w:cstheme="minorHAnsi"/>
        </w:rPr>
      </w:pPr>
      <w:r w:rsidRPr="00FB4333">
        <w:rPr>
          <w:rFonts w:eastAsia="Times New Roman" w:cstheme="minorHAnsi"/>
          <w:b/>
        </w:rPr>
        <w:t>Project Coordination Unit (PCU).</w:t>
      </w:r>
      <w:r w:rsidRPr="0014054F">
        <w:rPr>
          <w:rFonts w:eastAsia="Times New Roman" w:cstheme="minorHAnsi"/>
        </w:rPr>
        <w:t xml:space="preserve"> A PCU set up at ZEMA for ZMERIP will be responsible for overall coordination and facilitation of the work program as described in the annual plans. Zambia Environmental Management Agency (ZEMA), a regulatory agency under MWDSEP will implement this project with technical support from the Directorate of Planning, Information and Research and the Directorate of Operations. ZEMA is a regulatory agency with a mandate that includes the prevention and management of environmental pollution, conservation and sustainable management of natural resources, </w:t>
      </w:r>
      <w:r w:rsidRPr="0014054F">
        <w:rPr>
          <w:rFonts w:eastAsia="Times New Roman" w:cstheme="minorHAnsi"/>
        </w:rPr>
        <w:lastRenderedPageBreak/>
        <w:t xml:space="preserve">environmental audits and monitoring, and implementation of international environmental agreements and conventions. The PCU at ZEMA will in collaboration with the Ministry of Mines and Mineral Development (MMMD) and the Ministry of Local Government (MLGH) implement EHPMP activities through the targeted Municipal Councils. Functions of the PCU are: (a) preparation of procurement plans and the management of the designated accounts; (b) accounting, financial management, and reporting on overall project subcomponents; (c) ensuring project audits; (d) preparation of quarterly financial and technical progress reports; (e) managing environmental and social safeguards aspects; (f) undertaking all procurement and contract management activities for all components; and (g) communicating and interacting with partner countries as well as the regional knowledge platform. A senior officer from the PCUs core staff will be appointed as Project Coordinator who will report to the Director General of ZEMA. Within each implementing institution, a focal person will be appointed to coordinate project activities. </w:t>
      </w:r>
    </w:p>
    <w:p w14:paraId="1FCE08AC" w14:textId="77777777" w:rsidR="00D70D43" w:rsidRPr="00880538" w:rsidRDefault="00D70D43" w:rsidP="00D70D43">
      <w:pPr>
        <w:spacing w:before="120"/>
        <w:ind w:left="3" w:right="-432"/>
        <w:contextualSpacing/>
        <w:mirrorIndents/>
        <w:jc w:val="both"/>
        <w:rPr>
          <w:rFonts w:eastAsia="Times New Roman" w:cstheme="minorHAnsi"/>
        </w:rPr>
      </w:pPr>
    </w:p>
    <w:p w14:paraId="3E2F60C3" w14:textId="77777777" w:rsidR="00D70D43" w:rsidRDefault="00D70D43" w:rsidP="002E38A2">
      <w:pPr>
        <w:numPr>
          <w:ilvl w:val="0"/>
          <w:numId w:val="20"/>
        </w:numPr>
        <w:spacing w:before="120"/>
        <w:ind w:right="-432"/>
        <w:contextualSpacing/>
        <w:mirrorIndents/>
        <w:jc w:val="both"/>
        <w:rPr>
          <w:rFonts w:eastAsia="Times New Roman" w:cstheme="minorHAnsi"/>
        </w:rPr>
      </w:pPr>
      <w:r w:rsidRPr="003A6AC4">
        <w:rPr>
          <w:rFonts w:eastAsia="Times New Roman" w:cstheme="minorHAnsi"/>
          <w:b/>
        </w:rPr>
        <w:t xml:space="preserve">Project reporting. </w:t>
      </w:r>
      <w:r w:rsidRPr="00880538">
        <w:rPr>
          <w:rFonts w:eastAsia="Times New Roman" w:cstheme="minorHAnsi"/>
        </w:rPr>
        <w:t>All implementers are required to submit quarterly reports to the Project Focal Person at ZEMA outlining the following: i) type of activity undertaken; ii) expected outputs; iii) timeline of activities; iv) allocated budget; and v) actual expenditure. The Focal Person will prepare a report at the end of each quarter to highlight achievements and challenges faced, and future activities required to achieve the stated objectives. These reports will be presented and discussed at bi-annual review meetings.</w:t>
      </w:r>
    </w:p>
    <w:p w14:paraId="3A9FEE1C" w14:textId="77777777" w:rsidR="00D70D43" w:rsidRPr="00117F90" w:rsidRDefault="00D70D43" w:rsidP="00D70D43">
      <w:pPr>
        <w:rPr>
          <w:rFonts w:eastAsia="Times New Roman" w:cstheme="minorHAnsi"/>
          <w:b/>
          <w:bCs/>
        </w:rPr>
      </w:pPr>
    </w:p>
    <w:p w14:paraId="229F522A" w14:textId="77777777" w:rsidR="00D70D43" w:rsidRDefault="00D70D43" w:rsidP="00D70D43">
      <w:pPr>
        <w:spacing w:before="120"/>
        <w:ind w:right="-432"/>
        <w:contextualSpacing/>
        <w:mirrorIndents/>
        <w:jc w:val="both"/>
        <w:rPr>
          <w:rFonts w:eastAsia="Times New Roman" w:cstheme="minorHAnsi"/>
        </w:rPr>
      </w:pPr>
      <w:r w:rsidRPr="00117F90">
        <w:rPr>
          <w:rFonts w:eastAsia="Times New Roman" w:cstheme="minorHAnsi"/>
          <w:b/>
          <w:bCs/>
        </w:rPr>
        <w:t xml:space="preserve">PROJECT APPRAISAL SUMMARY </w:t>
      </w:r>
    </w:p>
    <w:p w14:paraId="551FCCA1" w14:textId="77777777" w:rsidR="00D70D43" w:rsidRPr="00117F90" w:rsidRDefault="00D70D43" w:rsidP="00D70D43">
      <w:pPr>
        <w:rPr>
          <w:rFonts w:eastAsia="SimSun" w:cstheme="minorHAnsi"/>
          <w:b/>
        </w:rPr>
      </w:pPr>
    </w:p>
    <w:p w14:paraId="3FFA1F3E" w14:textId="77777777" w:rsidR="00D70D43" w:rsidRDefault="00D70D43" w:rsidP="00D70D43">
      <w:pPr>
        <w:spacing w:before="120"/>
        <w:ind w:left="3" w:right="-432"/>
        <w:contextualSpacing/>
        <w:mirrorIndents/>
        <w:jc w:val="both"/>
        <w:rPr>
          <w:rFonts w:eastAsia="Times New Roman" w:cstheme="minorHAnsi"/>
        </w:rPr>
      </w:pPr>
      <w:r w:rsidRPr="00117F90">
        <w:rPr>
          <w:rFonts w:eastAsia="SimSun" w:cstheme="minorHAnsi"/>
          <w:b/>
        </w:rPr>
        <w:t>A. Technical, Economic and Financial Analysis (if applicable)</w:t>
      </w:r>
      <w:bookmarkStart w:id="30" w:name="_Hlk531106847"/>
    </w:p>
    <w:p w14:paraId="798D76CB" w14:textId="77777777" w:rsidR="00D70D43" w:rsidRPr="00117F90" w:rsidRDefault="00D70D43" w:rsidP="00D70D43">
      <w:pPr>
        <w:spacing w:before="120"/>
        <w:ind w:left="3" w:right="-432"/>
        <w:contextualSpacing/>
        <w:mirrorIndents/>
        <w:jc w:val="both"/>
        <w:rPr>
          <w:rFonts w:eastAsia="Times New Roman" w:cstheme="minorHAnsi"/>
        </w:rPr>
      </w:pPr>
    </w:p>
    <w:p w14:paraId="431351D1" w14:textId="77777777" w:rsidR="00D70D43" w:rsidRDefault="00D70D43" w:rsidP="002E38A2">
      <w:pPr>
        <w:numPr>
          <w:ilvl w:val="0"/>
          <w:numId w:val="20"/>
        </w:numPr>
        <w:spacing w:before="120"/>
        <w:ind w:right="-432"/>
        <w:contextualSpacing/>
        <w:mirrorIndents/>
        <w:jc w:val="both"/>
        <w:rPr>
          <w:rFonts w:eastAsia="Times New Roman" w:cstheme="minorHAnsi"/>
        </w:rPr>
      </w:pPr>
      <w:r w:rsidRPr="00117F90">
        <w:rPr>
          <w:rFonts w:eastAsia="Times New Roman" w:cstheme="minorHAnsi"/>
          <w:bCs/>
        </w:rPr>
        <w:t>Environmental</w:t>
      </w:r>
      <w:r w:rsidRPr="00117F90">
        <w:rPr>
          <w:rFonts w:eastAsia="Times New Roman" w:cstheme="minorHAnsi"/>
          <w:b/>
          <w:bCs/>
        </w:rPr>
        <w:t xml:space="preserve"> </w:t>
      </w:r>
      <w:r w:rsidRPr="00117F90">
        <w:rPr>
          <w:rFonts w:eastAsia="Times New Roman" w:cstheme="minorHAnsi"/>
          <w:bCs/>
        </w:rPr>
        <w:t>health problems are often associated with livelihood challenges and unawareness of long</w:t>
      </w:r>
      <w:r>
        <w:rPr>
          <w:rFonts w:eastAsia="Times New Roman" w:cstheme="minorHAnsi"/>
          <w:bCs/>
        </w:rPr>
        <w:t>-</w:t>
      </w:r>
      <w:r w:rsidRPr="00117F90">
        <w:rPr>
          <w:rFonts w:eastAsia="Times New Roman" w:cstheme="minorHAnsi"/>
          <w:bCs/>
        </w:rPr>
        <w:t xml:space="preserve">term impacts to health and the surrounding environment. These challenges arise from inefficient use of materials and resources, where possible solutions are based on identifying and adopting cleaner and more productive ways of working. Volatile Organic Compounds and mercury emissions alone account for 5.7 to 13 percent of the annual US$ 2 trillion to 4.5 trillion (or USD 2000 billion - 4500 billion) in ecosystems and biodiversity losses, while estimates for selected chemicals (including pesticides) involved in unintentional acute and occupational poisonings, a limited number of occupational carcinogens and particulates and lead, in 2004, resulted in a total of 964,000 deaths and 20,986,153 DALYs, corresponding to 1.6% of the total deaths and 1.4% of the total burden of disease world-wide. </w:t>
      </w:r>
    </w:p>
    <w:p w14:paraId="5736935E" w14:textId="77777777" w:rsidR="00D70D43" w:rsidRDefault="00D70D43" w:rsidP="00D70D43">
      <w:pPr>
        <w:spacing w:before="120"/>
        <w:ind w:left="3" w:right="-432"/>
        <w:contextualSpacing/>
        <w:mirrorIndents/>
        <w:jc w:val="both"/>
        <w:rPr>
          <w:rFonts w:eastAsia="Times New Roman" w:cstheme="minorHAnsi"/>
        </w:rPr>
      </w:pPr>
    </w:p>
    <w:p w14:paraId="63C0722F" w14:textId="77777777" w:rsidR="00D70D43" w:rsidRDefault="00D70D43" w:rsidP="002E38A2">
      <w:pPr>
        <w:numPr>
          <w:ilvl w:val="0"/>
          <w:numId w:val="20"/>
        </w:numPr>
        <w:spacing w:before="120"/>
        <w:ind w:right="-432"/>
        <w:contextualSpacing/>
        <w:mirrorIndents/>
        <w:jc w:val="both"/>
        <w:rPr>
          <w:rFonts w:eastAsia="Times New Roman" w:cstheme="minorHAnsi"/>
        </w:rPr>
      </w:pPr>
      <w:r w:rsidRPr="00117F90">
        <w:rPr>
          <w:rFonts w:eastAsia="Times New Roman" w:cstheme="minorHAnsi"/>
          <w:bCs/>
        </w:rPr>
        <w:t>Poor waste management practices lead to groundwater contamination, atmospheric and water pollution as well as health problems including occupational safety impacts among those directly and indirectly involved. Reduced burning of mixed solid waste will reduce the atmospheric deposition of POPs such as dioxins and furans translating into health benefits and reduced costs of pollution management and health care. Alternative treatment technologies for solid waste management can not only eliminate pathogenic agents or failure to immobilize heavy metals, but also benefit the public health and environmental safety, including reduction of greenhouse gas emissions such as carbon dioxide and methane.</w:t>
      </w:r>
    </w:p>
    <w:p w14:paraId="68E96AA2" w14:textId="77777777" w:rsidR="00D70D43" w:rsidRPr="008B5657" w:rsidRDefault="00D70D43" w:rsidP="00D70D43">
      <w:pPr>
        <w:rPr>
          <w:rFonts w:eastAsia="Times New Roman" w:cstheme="minorHAnsi"/>
          <w:bCs/>
        </w:rPr>
      </w:pPr>
    </w:p>
    <w:p w14:paraId="5DACC8D4" w14:textId="77777777" w:rsidR="00D70D43" w:rsidRDefault="00D70D43" w:rsidP="002E38A2">
      <w:pPr>
        <w:numPr>
          <w:ilvl w:val="0"/>
          <w:numId w:val="20"/>
        </w:numPr>
        <w:spacing w:before="120"/>
        <w:ind w:right="-432"/>
        <w:contextualSpacing/>
        <w:mirrorIndents/>
        <w:jc w:val="both"/>
        <w:rPr>
          <w:rFonts w:eastAsia="Times New Roman" w:cstheme="minorHAnsi"/>
        </w:rPr>
      </w:pPr>
      <w:r w:rsidRPr="008B5657">
        <w:rPr>
          <w:rFonts w:eastAsia="Times New Roman" w:cstheme="minorHAnsi"/>
          <w:bCs/>
        </w:rPr>
        <w:lastRenderedPageBreak/>
        <w:t>The project will promote the replication of alternative processes and techniques to prevent POPs formation due to open burning of different categories of wastes, including municipal, hazardous and medical wastes, following Stockholm Convention Article 5 and related BAT/BEP guidance. The Project aims to create socio-economic conditions necessary for the long-term reduction of environmental health risks and costs for the affected communities.</w:t>
      </w:r>
    </w:p>
    <w:p w14:paraId="48A15025" w14:textId="77777777" w:rsidR="00D70D43" w:rsidRPr="008B5657" w:rsidRDefault="00D70D43" w:rsidP="00D70D43">
      <w:pPr>
        <w:rPr>
          <w:rFonts w:eastAsia="Times New Roman" w:cstheme="minorHAnsi"/>
          <w:bCs/>
        </w:rPr>
      </w:pPr>
    </w:p>
    <w:p w14:paraId="6F8C8131" w14:textId="77777777" w:rsidR="00D70D43" w:rsidRDefault="00D70D43" w:rsidP="002E38A2">
      <w:pPr>
        <w:numPr>
          <w:ilvl w:val="0"/>
          <w:numId w:val="20"/>
        </w:numPr>
        <w:spacing w:before="120"/>
        <w:ind w:right="-432"/>
        <w:contextualSpacing/>
        <w:mirrorIndents/>
        <w:jc w:val="both"/>
        <w:rPr>
          <w:rFonts w:eastAsia="Times New Roman" w:cstheme="minorHAnsi"/>
        </w:rPr>
      </w:pPr>
      <w:r w:rsidRPr="008B5657">
        <w:rPr>
          <w:rFonts w:eastAsia="Times New Roman" w:cstheme="minorHAnsi"/>
          <w:bCs/>
        </w:rPr>
        <w:t>For the e-Waste sector, the Program envisions a number of economic benefits from to reduction of UPOPs releases (and potentially other POPs present in the waste including PCBs and PBDEs), such as (a) improved management and reduced open and uncontrolled burning of solid waste, and as a result reduced risk of public health diseases; (b) improved recycling systems provides better business opportunities and economic growth along with enhanced local ownership, responsibilities and participation; and (c) reduction of health costs associated with poor waste management practice.</w:t>
      </w:r>
      <w:bookmarkEnd w:id="30"/>
    </w:p>
    <w:p w14:paraId="7C452843" w14:textId="77777777" w:rsidR="00D70D43" w:rsidRDefault="00D70D43" w:rsidP="00D70D43">
      <w:pPr>
        <w:spacing w:before="120"/>
        <w:ind w:right="-432"/>
        <w:contextualSpacing/>
        <w:mirrorIndents/>
        <w:jc w:val="both"/>
        <w:rPr>
          <w:rFonts w:eastAsia="SimSun" w:cstheme="minorHAnsi"/>
          <w:b/>
        </w:rPr>
      </w:pPr>
    </w:p>
    <w:p w14:paraId="04268F19" w14:textId="77777777" w:rsidR="00D70D43" w:rsidRDefault="00D70D43" w:rsidP="00D70D43">
      <w:pPr>
        <w:spacing w:before="120"/>
        <w:ind w:right="-432"/>
        <w:contextualSpacing/>
        <w:mirrorIndents/>
        <w:jc w:val="both"/>
        <w:rPr>
          <w:rFonts w:eastAsia="Times New Roman" w:cstheme="minorHAnsi"/>
        </w:rPr>
      </w:pPr>
      <w:r w:rsidRPr="00F8629F">
        <w:rPr>
          <w:rFonts w:eastAsia="SimSun" w:cstheme="minorHAnsi"/>
          <w:b/>
        </w:rPr>
        <w:t>B – Fiduciary</w:t>
      </w:r>
    </w:p>
    <w:p w14:paraId="564C7631" w14:textId="77777777" w:rsidR="00D70D43" w:rsidRPr="00C75410" w:rsidRDefault="00D70D43" w:rsidP="00D70D43">
      <w:pPr>
        <w:rPr>
          <w:rFonts w:eastAsia="SimSun" w:cstheme="minorHAnsi"/>
          <w:b/>
        </w:rPr>
      </w:pPr>
    </w:p>
    <w:p w14:paraId="4E5F13E9" w14:textId="77777777" w:rsidR="00D70D43" w:rsidRDefault="00D70D43" w:rsidP="002E38A2">
      <w:pPr>
        <w:numPr>
          <w:ilvl w:val="0"/>
          <w:numId w:val="20"/>
        </w:numPr>
        <w:spacing w:before="120"/>
        <w:ind w:right="-432"/>
        <w:contextualSpacing/>
        <w:mirrorIndents/>
        <w:jc w:val="both"/>
        <w:rPr>
          <w:rFonts w:eastAsia="Times New Roman" w:cstheme="minorHAnsi"/>
        </w:rPr>
      </w:pPr>
      <w:r w:rsidRPr="00F8629F">
        <w:rPr>
          <w:rFonts w:eastAsia="SimSun" w:cstheme="minorHAnsi"/>
          <w:b/>
        </w:rPr>
        <w:t xml:space="preserve">Financial Management: </w:t>
      </w:r>
      <w:r w:rsidRPr="00F8629F">
        <w:rPr>
          <w:rFonts w:eastAsia="SimSun" w:cstheme="minorHAnsi"/>
        </w:rPr>
        <w:t xml:space="preserve">An FM assessment was carried out for </w:t>
      </w:r>
      <w:r>
        <w:rPr>
          <w:rFonts w:eastAsia="SimSun" w:cstheme="minorHAnsi"/>
        </w:rPr>
        <w:t xml:space="preserve">the </w:t>
      </w:r>
      <w:r w:rsidRPr="00F8629F">
        <w:rPr>
          <w:rFonts w:eastAsia="SimSun" w:cstheme="minorHAnsi"/>
        </w:rPr>
        <w:t xml:space="preserve">Zambia Environmental </w:t>
      </w:r>
      <w:r>
        <w:rPr>
          <w:rFonts w:eastAsia="SimSun" w:cstheme="minorHAnsi"/>
        </w:rPr>
        <w:t xml:space="preserve">Management </w:t>
      </w:r>
      <w:r w:rsidRPr="00F8629F">
        <w:rPr>
          <w:rFonts w:eastAsia="SimSun" w:cstheme="minorHAnsi"/>
        </w:rPr>
        <w:t>Agency (ZEMA) in accordance with the Financial Management Manual issued by the FM Sector Board on March 1, 2010 and retrofitted on February 4, 2015. The objective of the assessment was to determine whether the implementing entity has acceptable financial management arrangements in place that satisfy the Bank’s Operation Policy/Bank Procedure (OP/BP) 10.00. These arrangements would ensure that ZEMA: (i) use</w:t>
      </w:r>
      <w:r>
        <w:rPr>
          <w:rFonts w:eastAsia="SimSun" w:cstheme="minorHAnsi"/>
        </w:rPr>
        <w:t>s</w:t>
      </w:r>
      <w:r w:rsidRPr="00F8629F">
        <w:rPr>
          <w:rFonts w:eastAsia="SimSun" w:cstheme="minorHAnsi"/>
        </w:rPr>
        <w:t xml:space="preserve"> Project funds only for the intended purposes in an efficient and economical way; (ii) prepare accurate and reliable accounts as well as timely periodic financial reports; (iii) safeguard assets of the Project; and (iv) have acceptable auditing arrangements. FM arrangements were found to be adequate subject to meeting the following requirements: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 The conclusion of the assessment is that the financial management arrangements in place meet the World Bank’s minimum requirements under OP/BP10.00, and therefore are adequate to provide, with reasonable assurance, accurate and timely information on the status of the Project required by World Bank (IDA). The overall Financial Management residual risk rating for ZEMA is moderate.</w:t>
      </w:r>
    </w:p>
    <w:p w14:paraId="308BB0E1" w14:textId="77777777" w:rsidR="00D70D43" w:rsidRPr="00F8629F" w:rsidRDefault="00D70D43" w:rsidP="00D70D43">
      <w:pPr>
        <w:spacing w:before="120"/>
        <w:ind w:left="3" w:right="-432"/>
        <w:contextualSpacing/>
        <w:mirrorIndents/>
        <w:jc w:val="both"/>
        <w:rPr>
          <w:rFonts w:eastAsia="Times New Roman" w:cstheme="minorHAnsi"/>
        </w:rPr>
      </w:pPr>
    </w:p>
    <w:p w14:paraId="7A0D7C67" w14:textId="77777777" w:rsidR="00D70D43" w:rsidRPr="00283629" w:rsidRDefault="00D70D43" w:rsidP="002E38A2">
      <w:pPr>
        <w:numPr>
          <w:ilvl w:val="0"/>
          <w:numId w:val="20"/>
        </w:numPr>
        <w:spacing w:before="120"/>
        <w:ind w:right="-432"/>
        <w:contextualSpacing/>
        <w:mirrorIndents/>
        <w:jc w:val="both"/>
        <w:rPr>
          <w:rFonts w:eastAsia="Times New Roman" w:cstheme="minorHAnsi"/>
        </w:rPr>
      </w:pPr>
      <w:r w:rsidRPr="00F8629F">
        <w:rPr>
          <w:rFonts w:eastAsia="SimSun" w:cstheme="minorHAnsi"/>
          <w:b/>
        </w:rPr>
        <w:t xml:space="preserve">Procurement: </w:t>
      </w:r>
      <w:r>
        <w:rPr>
          <w:rFonts w:eastAsia="Times New Roman" w:cstheme="minorHAnsi"/>
        </w:rPr>
        <w:t xml:space="preserve">ZEMA has developed a PPSD </w:t>
      </w:r>
      <w:r w:rsidRPr="00F8629F">
        <w:rPr>
          <w:rFonts w:eastAsia="Times New Roman" w:cstheme="minorHAnsi"/>
        </w:rPr>
        <w:t>based on the PPSD used for the restructuring of the ZMERIP project considering only the ZEMA PIU and its procurement plan.</w:t>
      </w:r>
      <w:r w:rsidRPr="00F8629F">
        <w:rPr>
          <w:rFonts w:eastAsia="Times New Roman" w:cstheme="minorHAnsi"/>
          <w:b/>
        </w:rPr>
        <w:t xml:space="preserve"> </w:t>
      </w:r>
      <w:r w:rsidRPr="00F8629F">
        <w:rPr>
          <w:rFonts w:eastAsia="Calibri" w:cstheme="minorHAnsi"/>
        </w:rPr>
        <w:t xml:space="preserve">Procurement under the proposed project will be carried out in accordance with the World Bank </w:t>
      </w:r>
      <w:r w:rsidRPr="00F8629F">
        <w:rPr>
          <w:rFonts w:eastAsia="Times New Roman" w:cstheme="minorHAnsi"/>
        </w:rPr>
        <w:t>New Procurement Framework “</w:t>
      </w:r>
      <w:r w:rsidRPr="00F8629F">
        <w:rPr>
          <w:rFonts w:eastAsia="Times New Roman" w:cstheme="minorHAnsi"/>
          <w:i/>
        </w:rPr>
        <w:t>Procurement Regulations for Investment Project Financing (IPF) for Borrowers – Goods, Works, Non-Consulting and Consulting Services’</w:t>
      </w:r>
      <w:r w:rsidRPr="00F8629F">
        <w:rPr>
          <w:rFonts w:eastAsia="Times New Roman" w:cstheme="minorHAnsi"/>
        </w:rPr>
        <w:t xml:space="preserve"> dated July 2016</w:t>
      </w:r>
      <w:r w:rsidRPr="00F8629F">
        <w:rPr>
          <w:rFonts w:eastAsia="Calibri" w:cstheme="minorHAnsi"/>
        </w:rPr>
        <w:t>; ii) “</w:t>
      </w:r>
      <w:r w:rsidRPr="00F8629F">
        <w:rPr>
          <w:rFonts w:eastAsia="Calibri" w:cstheme="minorHAnsi"/>
          <w:i/>
          <w:iCs/>
        </w:rPr>
        <w:t>Guidelines on Preventing and Combating Fraud and Corruption in Projects Financed by IBRD Loans and IDA Credits and Grants, (the Anti-Corruption Guidelines</w:t>
      </w:r>
      <w:r w:rsidRPr="00F8629F">
        <w:rPr>
          <w:rFonts w:eastAsia="Calibri" w:cstheme="minorHAnsi"/>
        </w:rPr>
        <w:t xml:space="preserve">)” dated October 15, 2006 and revised in January 2011; and iv) the provisions stipulated in the legal agreement. The procurement procedure to be followed for National Competitive Bidding (“NCB”) shall be the open bidding procedure set forth in the Public </w:t>
      </w:r>
      <w:r w:rsidRPr="00F8629F">
        <w:rPr>
          <w:rFonts w:eastAsia="Calibri" w:cstheme="minorHAnsi"/>
        </w:rPr>
        <w:lastRenderedPageBreak/>
        <w:t xml:space="preserve">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Procurement capacity assessments of the implementing agency (ZEMA) for the project was carried out as part of project preparation. The assessment concluded that procurement management arrangements in place are adequate and compliant with the Procurement Guidelines. The project will make use of existing arrangements under the ZMERIP project. </w:t>
      </w:r>
    </w:p>
    <w:p w14:paraId="726A855C" w14:textId="77777777" w:rsidR="00D70D43" w:rsidRDefault="00D70D43" w:rsidP="00D70D43">
      <w:pPr>
        <w:spacing w:before="120"/>
        <w:ind w:left="3" w:right="-432"/>
        <w:contextualSpacing/>
        <w:mirrorIndents/>
        <w:jc w:val="both"/>
        <w:rPr>
          <w:rFonts w:eastAsia="Times New Roman" w:cstheme="minorHAnsi"/>
        </w:rPr>
      </w:pPr>
    </w:p>
    <w:p w14:paraId="7B8B03B1" w14:textId="77777777" w:rsidR="00D70D43" w:rsidRDefault="00D70D43" w:rsidP="002E38A2">
      <w:pPr>
        <w:numPr>
          <w:ilvl w:val="1"/>
          <w:numId w:val="20"/>
        </w:numPr>
        <w:spacing w:before="120"/>
        <w:ind w:right="-432"/>
        <w:contextualSpacing/>
        <w:mirrorIndents/>
        <w:jc w:val="both"/>
        <w:rPr>
          <w:rFonts w:eastAsia="Times New Roman" w:cstheme="minorHAnsi"/>
        </w:rPr>
      </w:pPr>
      <w:r w:rsidRPr="00E838E1">
        <w:rPr>
          <w:rFonts w:eastAsia="Calibri" w:cstheme="minorHAnsi"/>
          <w:i/>
        </w:rPr>
        <w:t>Methods of procurement of goods and works are as follows:</w:t>
      </w:r>
    </w:p>
    <w:p w14:paraId="1F19A573" w14:textId="77777777" w:rsidR="00D70D43" w:rsidRDefault="00D70D43" w:rsidP="002E38A2">
      <w:pPr>
        <w:numPr>
          <w:ilvl w:val="2"/>
          <w:numId w:val="20"/>
        </w:numPr>
        <w:spacing w:before="120"/>
        <w:ind w:right="-432"/>
        <w:contextualSpacing/>
        <w:mirrorIndents/>
        <w:jc w:val="both"/>
        <w:rPr>
          <w:rFonts w:eastAsia="Times New Roman" w:cstheme="minorHAnsi"/>
        </w:rPr>
      </w:pPr>
      <w:r w:rsidRPr="00E838E1">
        <w:rPr>
          <w:rFonts w:eastAsia="Times New Roman" w:cstheme="minorHAnsi"/>
        </w:rPr>
        <w:t xml:space="preserve">International Competitive Bidding. Except as otherwise provided, goods and works shall be procured under contracts awarded </w:t>
      </w:r>
      <w:proofErr w:type="gramStart"/>
      <w:r w:rsidRPr="00E838E1">
        <w:rPr>
          <w:rFonts w:eastAsia="Times New Roman" w:cstheme="minorHAnsi"/>
        </w:rPr>
        <w:t>on the basis of</w:t>
      </w:r>
      <w:proofErr w:type="gramEnd"/>
      <w:r w:rsidRPr="00E838E1">
        <w:rPr>
          <w:rFonts w:eastAsia="Times New Roman" w:cstheme="minorHAnsi"/>
        </w:rPr>
        <w:t xml:space="preserve"> International Competitive Bidding (ICB).</w:t>
      </w:r>
    </w:p>
    <w:p w14:paraId="35ECE1E7" w14:textId="77777777" w:rsidR="00D70D43" w:rsidRPr="00E838E1" w:rsidRDefault="00D70D43" w:rsidP="002E38A2">
      <w:pPr>
        <w:numPr>
          <w:ilvl w:val="2"/>
          <w:numId w:val="20"/>
        </w:numPr>
        <w:spacing w:before="120"/>
        <w:ind w:left="1382" w:right="-432" w:hanging="187"/>
        <w:contextualSpacing/>
        <w:jc w:val="both"/>
        <w:rPr>
          <w:rFonts w:eastAsia="Times New Roman" w:cstheme="minorHAnsi"/>
        </w:rPr>
      </w:pPr>
      <w:r w:rsidRPr="00E838E1">
        <w:rPr>
          <w:rFonts w:eastAsia="Times New Roman" w:cstheme="minorHAnsi"/>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5BA32C70" w14:textId="77777777" w:rsidR="00D70D43" w:rsidRPr="009E682C" w:rsidRDefault="00D70D43" w:rsidP="00D70D43">
      <w:pPr>
        <w:rPr>
          <w:rFonts w:eastAsia="Times New Roman" w:cstheme="minorHAnsi"/>
          <w:i/>
        </w:rPr>
      </w:pPr>
    </w:p>
    <w:p w14:paraId="1DECB682" w14:textId="77777777" w:rsidR="00D70D43" w:rsidRPr="009E682C" w:rsidRDefault="00D70D43" w:rsidP="002E38A2">
      <w:pPr>
        <w:numPr>
          <w:ilvl w:val="1"/>
          <w:numId w:val="20"/>
        </w:numPr>
        <w:spacing w:before="120"/>
        <w:ind w:right="-432"/>
        <w:contextualSpacing/>
        <w:jc w:val="both"/>
        <w:rPr>
          <w:rFonts w:eastAsia="Times New Roman" w:cstheme="minorHAnsi"/>
        </w:rPr>
      </w:pPr>
      <w:r w:rsidRPr="009E682C">
        <w:rPr>
          <w:rFonts w:eastAsia="Times New Roman" w:cstheme="minorHAnsi"/>
          <w:i/>
        </w:rPr>
        <w:t>Methods of procurement for consulting services are:</w:t>
      </w:r>
    </w:p>
    <w:p w14:paraId="1D224955" w14:textId="77777777" w:rsidR="00D70D43" w:rsidRPr="009E682C" w:rsidRDefault="00D70D43" w:rsidP="00D70D43">
      <w:pPr>
        <w:rPr>
          <w:rFonts w:eastAsia="Times New Roman" w:cstheme="minorHAnsi"/>
        </w:rPr>
      </w:pPr>
    </w:p>
    <w:p w14:paraId="47640CE2" w14:textId="77777777" w:rsidR="00D70D43" w:rsidRDefault="00D70D43" w:rsidP="002E38A2">
      <w:pPr>
        <w:numPr>
          <w:ilvl w:val="2"/>
          <w:numId w:val="20"/>
        </w:numPr>
        <w:spacing w:before="120"/>
        <w:ind w:left="1382" w:right="-432" w:hanging="187"/>
        <w:contextualSpacing/>
        <w:jc w:val="both"/>
        <w:rPr>
          <w:rFonts w:eastAsia="Times New Roman" w:cstheme="minorHAnsi"/>
        </w:rPr>
      </w:pPr>
      <w:r w:rsidRPr="009E682C">
        <w:rPr>
          <w:rFonts w:eastAsia="Times New Roman" w:cstheme="minorHAnsi"/>
        </w:rPr>
        <w:t xml:space="preserve">Quality and Cost-Based Selection (QCBS). Except as otherwise provided in the paragraph below, consultants services shall be procured under contracts awarded </w:t>
      </w:r>
      <w:proofErr w:type="gramStart"/>
      <w:r w:rsidRPr="009E682C">
        <w:rPr>
          <w:rFonts w:eastAsia="Times New Roman" w:cstheme="minorHAnsi"/>
        </w:rPr>
        <w:t>on the basis of</w:t>
      </w:r>
      <w:proofErr w:type="gramEnd"/>
      <w:r w:rsidRPr="009E682C">
        <w:rPr>
          <w:rFonts w:eastAsia="Times New Roman" w:cstheme="minorHAnsi"/>
        </w:rPr>
        <w:t xml:space="preserve"> Quality and Cost-Based Selection. </w:t>
      </w:r>
    </w:p>
    <w:p w14:paraId="644F0D1F" w14:textId="77777777" w:rsidR="00D70D43" w:rsidRPr="000604BB" w:rsidRDefault="00D70D43" w:rsidP="002E38A2">
      <w:pPr>
        <w:numPr>
          <w:ilvl w:val="2"/>
          <w:numId w:val="20"/>
        </w:numPr>
        <w:spacing w:before="120"/>
        <w:ind w:left="1382" w:right="-432" w:hanging="187"/>
        <w:contextualSpacing/>
        <w:jc w:val="both"/>
        <w:rPr>
          <w:rFonts w:eastAsia="Times New Roman" w:cstheme="minorHAnsi"/>
        </w:rPr>
      </w:pPr>
      <w:r w:rsidRPr="000604BB">
        <w:rPr>
          <w:rFonts w:eastAsia="Times New Roman" w:cstheme="minorHAnsi"/>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47B741FE" w14:textId="77777777" w:rsidR="00D70D43" w:rsidRPr="009E682C" w:rsidRDefault="00D70D43" w:rsidP="00D70D43">
      <w:pPr>
        <w:rPr>
          <w:rFonts w:eastAsia="SimSun" w:cstheme="minorHAnsi"/>
          <w:b/>
        </w:rPr>
      </w:pPr>
    </w:p>
    <w:p w14:paraId="5C6B7E0B" w14:textId="77777777" w:rsidR="00D70D43" w:rsidRDefault="00D70D43" w:rsidP="00D70D43">
      <w:pPr>
        <w:spacing w:before="120"/>
        <w:ind w:right="-432"/>
        <w:contextualSpacing/>
        <w:mirrorIndents/>
        <w:jc w:val="both"/>
        <w:rPr>
          <w:rFonts w:eastAsia="SimSun" w:cstheme="minorHAnsi"/>
          <w:b/>
        </w:rPr>
      </w:pPr>
    </w:p>
    <w:p w14:paraId="22CF64DC" w14:textId="77777777" w:rsidR="00D70D43" w:rsidRDefault="00D70D43" w:rsidP="00D70D43">
      <w:pPr>
        <w:spacing w:before="120"/>
        <w:ind w:right="-432"/>
        <w:contextualSpacing/>
        <w:mirrorIndents/>
        <w:jc w:val="both"/>
        <w:rPr>
          <w:rFonts w:eastAsia="Times New Roman" w:cstheme="minorHAnsi"/>
        </w:rPr>
      </w:pPr>
      <w:r w:rsidRPr="009E682C">
        <w:rPr>
          <w:rFonts w:eastAsia="SimSun" w:cstheme="minorHAnsi"/>
          <w:b/>
        </w:rPr>
        <w:t>D – Environmental and Social</w:t>
      </w:r>
    </w:p>
    <w:p w14:paraId="095CFEE0" w14:textId="77777777" w:rsidR="00D70D43" w:rsidRPr="009E682C" w:rsidRDefault="00D70D43" w:rsidP="00D70D43">
      <w:pPr>
        <w:rPr>
          <w:rFonts w:eastAsia="Times New Roman" w:cstheme="minorHAnsi"/>
          <w:b/>
        </w:rPr>
      </w:pPr>
    </w:p>
    <w:p w14:paraId="4FAA9EA2" w14:textId="77777777" w:rsidR="00D70D43" w:rsidRPr="004E2316" w:rsidRDefault="00D70D43" w:rsidP="002E38A2">
      <w:pPr>
        <w:numPr>
          <w:ilvl w:val="0"/>
          <w:numId w:val="20"/>
        </w:numPr>
        <w:spacing w:before="120"/>
        <w:ind w:right="-432"/>
        <w:contextualSpacing/>
        <w:mirrorIndents/>
        <w:jc w:val="both"/>
        <w:rPr>
          <w:rFonts w:eastAsia="Times New Roman" w:cstheme="minorHAnsi"/>
        </w:rPr>
      </w:pPr>
      <w:r w:rsidRPr="004E2316">
        <w:rPr>
          <w:rFonts w:eastAsia="Times New Roman" w:cstheme="minorHAnsi"/>
          <w:b/>
        </w:rPr>
        <w:t>Social (including Safeguards)</w:t>
      </w:r>
      <w:r w:rsidRPr="004E2316">
        <w:rPr>
          <w:rFonts w:eastAsia="Times New Roman" w:cstheme="minorHAnsi"/>
        </w:rPr>
        <w:t xml:space="preserve">: The socio-economic dimensions of the project, particularly on populations affected by exposure to chemical related contamination and other hazards include: (a) need for inclusion of communities in the planning (and implementation) process; (b) citizen engagement and awareness building about environmental quality in their neighborhood; (c) building social capital at community level through localized interventions, with a special focus on vulnerable community members; and (d) adherence to World Bank ESSs on land acquisition and resettlement. CEP provided several important lessons, one of which was the importance of inclusion of the local population into decision making for such pollution management projects </w:t>
      </w:r>
      <w:r w:rsidRPr="004E2316">
        <w:rPr>
          <w:rFonts w:eastAsia="Times New Roman" w:cstheme="minorHAnsi"/>
        </w:rPr>
        <w:lastRenderedPageBreak/>
        <w:t>to increase sustainability of investments and promote understanding of the purpose of project investments. The project is designed with a participatory approach in mind and aims to promote community-driven activities dedicated to the improvement of environmental health of the communities most affected by chemical pollution.</w:t>
      </w:r>
    </w:p>
    <w:p w14:paraId="5F947CB9" w14:textId="77777777" w:rsidR="00D70D43" w:rsidRPr="00EC2FC9" w:rsidRDefault="00D70D43" w:rsidP="00D70D43">
      <w:pPr>
        <w:rPr>
          <w:rFonts w:eastAsia="Times New Roman" w:cstheme="minorHAnsi"/>
          <w:b/>
        </w:rPr>
      </w:pPr>
    </w:p>
    <w:p w14:paraId="5E81B72C" w14:textId="77777777" w:rsidR="00D70D43" w:rsidRDefault="00D70D43" w:rsidP="002E38A2">
      <w:pPr>
        <w:numPr>
          <w:ilvl w:val="0"/>
          <w:numId w:val="20"/>
        </w:numPr>
        <w:spacing w:before="120"/>
        <w:ind w:right="-432"/>
        <w:contextualSpacing/>
        <w:mirrorIndents/>
        <w:jc w:val="both"/>
        <w:rPr>
          <w:rFonts w:eastAsia="Times New Roman" w:cstheme="minorHAnsi"/>
        </w:rPr>
      </w:pPr>
      <w:r w:rsidRPr="00EC2FC9">
        <w:rPr>
          <w:rFonts w:eastAsia="Times New Roman" w:cstheme="minorHAnsi"/>
          <w:b/>
        </w:rPr>
        <w:t>Gender:</w:t>
      </w:r>
      <w:r w:rsidRPr="00EC2FC9">
        <w:rPr>
          <w:rFonts w:eastAsia="Times New Roman" w:cstheme="minorHAnsi"/>
        </w:rPr>
        <w:t xml:space="preserve"> Women have the potential to play an important role in behavioral change that could significantly reduce exposure of children to hazardous environment. Women in </w:t>
      </w:r>
      <w:proofErr w:type="spellStart"/>
      <w:r w:rsidRPr="00EC2FC9">
        <w:rPr>
          <w:rFonts w:eastAsia="Times New Roman" w:cstheme="minorHAnsi"/>
        </w:rPr>
        <w:t>Kabwe</w:t>
      </w:r>
      <w:proofErr w:type="spellEnd"/>
      <w:r w:rsidRPr="00EC2FC9">
        <w:rPr>
          <w:rFonts w:eastAsia="Times New Roman" w:cstheme="minorHAnsi"/>
        </w:rPr>
        <w:t xml:space="preserve"> can therefore play an important role in changing health seeking behavior, including mitigation of health impacts due to lead poisoning. Thus, the project has a strong emphasis on inclusion of women in the sensitization and communication campaign, participation in the health interventions that target affected children, and local level nutritional support, livelihood support activities. </w:t>
      </w:r>
    </w:p>
    <w:p w14:paraId="315CF764" w14:textId="77777777" w:rsidR="00D70D43" w:rsidRPr="00EC2FC9" w:rsidRDefault="00D70D43" w:rsidP="00D70D43">
      <w:pPr>
        <w:rPr>
          <w:rFonts w:eastAsia="Times New Roman" w:cstheme="minorHAnsi"/>
          <w:b/>
        </w:rPr>
      </w:pPr>
    </w:p>
    <w:p w14:paraId="568B7A17" w14:textId="77777777" w:rsidR="00D70D43" w:rsidRDefault="00D70D43" w:rsidP="002E38A2">
      <w:pPr>
        <w:numPr>
          <w:ilvl w:val="0"/>
          <w:numId w:val="20"/>
        </w:numPr>
        <w:spacing w:before="120"/>
        <w:ind w:right="-432"/>
        <w:contextualSpacing/>
        <w:mirrorIndents/>
        <w:jc w:val="both"/>
        <w:rPr>
          <w:rFonts w:eastAsia="Times New Roman" w:cstheme="minorHAnsi"/>
        </w:rPr>
      </w:pPr>
      <w:r w:rsidRPr="00EC2FC9">
        <w:rPr>
          <w:rFonts w:eastAsia="Times New Roman" w:cstheme="minorHAnsi"/>
          <w:b/>
        </w:rPr>
        <w:t>Vulnerable groups:</w:t>
      </w:r>
      <w:r w:rsidRPr="00EC2FC9">
        <w:rPr>
          <w:rFonts w:eastAsia="Times New Roman" w:cstheme="minorHAnsi"/>
        </w:rPr>
        <w:t xml:space="preserve"> The selected municipalities have already implemented </w:t>
      </w:r>
      <w:proofErr w:type="gramStart"/>
      <w:r w:rsidRPr="00EC2FC9">
        <w:rPr>
          <w:rFonts w:eastAsia="Times New Roman" w:cstheme="minorHAnsi"/>
        </w:rPr>
        <w:t>a number of</w:t>
      </w:r>
      <w:proofErr w:type="gramEnd"/>
      <w:r w:rsidRPr="00EC2FC9">
        <w:rPr>
          <w:rFonts w:eastAsia="Times New Roman" w:cstheme="minorHAnsi"/>
        </w:rPr>
        <w:t xml:space="preserve"> initiatives targeting groups such as women headed households, the elderly, the disabled and youth. The project will provide special attention to these groups with dedicated grant opportunities under subcomponent 3.2 and targeted sensitization and education campaigns. </w:t>
      </w:r>
    </w:p>
    <w:p w14:paraId="3FD79820" w14:textId="77777777" w:rsidR="00D70D43" w:rsidRPr="00EC2FC9" w:rsidRDefault="00D70D43" w:rsidP="00D70D43">
      <w:pPr>
        <w:rPr>
          <w:rFonts w:eastAsia="Times New Roman" w:cstheme="minorHAnsi"/>
          <w:b/>
        </w:rPr>
      </w:pPr>
    </w:p>
    <w:p w14:paraId="4CF3E050" w14:textId="77777777" w:rsidR="00D70D43" w:rsidRDefault="00D70D43" w:rsidP="002E38A2">
      <w:pPr>
        <w:numPr>
          <w:ilvl w:val="0"/>
          <w:numId w:val="20"/>
        </w:numPr>
        <w:spacing w:before="120"/>
        <w:ind w:right="-432"/>
        <w:contextualSpacing/>
        <w:mirrorIndents/>
        <w:jc w:val="both"/>
        <w:rPr>
          <w:rFonts w:eastAsia="Times New Roman" w:cstheme="minorHAnsi"/>
        </w:rPr>
      </w:pPr>
      <w:r w:rsidRPr="00EC2FC9">
        <w:rPr>
          <w:rFonts w:eastAsia="Times New Roman" w:cstheme="minorHAnsi"/>
          <w:b/>
        </w:rPr>
        <w:t xml:space="preserve">Environment (including Safeguards) </w:t>
      </w:r>
    </w:p>
    <w:p w14:paraId="42F12AFD" w14:textId="77777777" w:rsidR="00D70D43" w:rsidRPr="00EC6B53" w:rsidRDefault="00D70D43" w:rsidP="00D70D43">
      <w:pPr>
        <w:rPr>
          <w:rFonts w:eastAsia="Times New Roman" w:cstheme="minorHAnsi"/>
          <w:b/>
        </w:rPr>
      </w:pPr>
    </w:p>
    <w:p w14:paraId="390B0227" w14:textId="77777777" w:rsidR="00D70D43" w:rsidRDefault="00D70D43" w:rsidP="002E38A2">
      <w:pPr>
        <w:numPr>
          <w:ilvl w:val="0"/>
          <w:numId w:val="20"/>
        </w:numPr>
        <w:spacing w:before="120"/>
        <w:ind w:right="-432"/>
        <w:contextualSpacing/>
        <w:mirrorIndents/>
        <w:jc w:val="both"/>
        <w:rPr>
          <w:rFonts w:eastAsia="Times New Roman" w:cstheme="minorHAnsi"/>
        </w:rPr>
      </w:pPr>
      <w:r w:rsidRPr="007B24E7">
        <w:rPr>
          <w:rFonts w:eastAsia="Times New Roman" w:cstheme="minorHAnsi"/>
          <w:b/>
        </w:rPr>
        <w:t>Climate Change Screening:</w:t>
      </w:r>
      <w:r w:rsidRPr="007B24E7">
        <w:rPr>
          <w:rFonts w:eastAsia="Times New Roman" w:cstheme="minorHAnsi"/>
        </w:rPr>
        <w:t xml:space="preserve"> The Climate and Disaster Risk Screening Report identified that the target project locations in the future will be moderately exposed to the natural hazards like drought, extreme precipitation and flooding and strong winds. Therefore, the preparation of the proposed subproject activities will incorporate monitoring of the level of climate and geophysical risks identified as relevant to the project. Where necessary, additional studies and consultations will be organized. Adaptation covers a wide range of activities that will enhance the ability to respond to climate change-related issues such as floods, drought, threats to water resources and strong winds. The project’s physical investments will cover activities that (a) are relatively small-scale investments; (b) have scope for easily reacting to climatic hazards (for example, to improve management of solid waste in </w:t>
      </w:r>
      <w:proofErr w:type="spellStart"/>
      <w:r w:rsidRPr="007B24E7">
        <w:rPr>
          <w:rFonts w:eastAsia="Times New Roman" w:cstheme="minorHAnsi"/>
        </w:rPr>
        <w:t>Kabwe</w:t>
      </w:r>
      <w:proofErr w:type="spellEnd"/>
      <w:r w:rsidRPr="007B24E7">
        <w:rPr>
          <w:rFonts w:eastAsia="Times New Roman" w:cstheme="minorHAnsi"/>
        </w:rPr>
        <w:t xml:space="preserve"> or improving agricultural productivity of contaminated soil in Mufulira and </w:t>
      </w:r>
      <w:proofErr w:type="spellStart"/>
      <w:r w:rsidRPr="007B24E7">
        <w:rPr>
          <w:rFonts w:eastAsia="Times New Roman" w:cstheme="minorHAnsi"/>
        </w:rPr>
        <w:t>Chingola</w:t>
      </w:r>
      <w:proofErr w:type="spellEnd"/>
      <w:r w:rsidRPr="007B24E7">
        <w:rPr>
          <w:rFonts w:eastAsia="Times New Roman" w:cstheme="minorHAnsi"/>
        </w:rPr>
        <w:t xml:space="preserve">, etc.); and (c) possess an inherent flexibility to react to changing climatic condition, should this become necessary (for example, when a community decides and plans the income generating activities, resilience can be built with minor additional efforts). Adaptation will thus be promoted as one of the key design principles for the scope of planned activities. Mitigation efforts are targeted at reducing greenhouse gas (GHG) emissions by measures such as improved management of solid waste in </w:t>
      </w:r>
      <w:proofErr w:type="spellStart"/>
      <w:r w:rsidRPr="007B24E7">
        <w:rPr>
          <w:rFonts w:eastAsia="Times New Roman" w:cstheme="minorHAnsi"/>
        </w:rPr>
        <w:t>Kabwe</w:t>
      </w:r>
      <w:proofErr w:type="spellEnd"/>
      <w:r w:rsidRPr="007B24E7">
        <w:rPr>
          <w:rFonts w:eastAsia="Times New Roman" w:cstheme="minorHAnsi"/>
        </w:rPr>
        <w:t xml:space="preserve">; and afforestation and greening initiatives in four municipal councils. While resource efficiency will be an important design criterion in all components, especially those dealing with physical investments and livelihood generation, the project will not target specific measures to reduce, and possibly market, GHG emissions. The investment on solid waste management in </w:t>
      </w:r>
      <w:proofErr w:type="spellStart"/>
      <w:r w:rsidRPr="007B24E7">
        <w:rPr>
          <w:rFonts w:eastAsia="Times New Roman" w:cstheme="minorHAnsi"/>
        </w:rPr>
        <w:t>Kabwe</w:t>
      </w:r>
      <w:proofErr w:type="spellEnd"/>
      <w:r w:rsidRPr="007B24E7">
        <w:rPr>
          <w:rFonts w:eastAsia="Times New Roman" w:cstheme="minorHAnsi"/>
        </w:rPr>
        <w:t xml:space="preserve"> will be designed to reduce methane generation of organic waste currently being disposed into an open dump. The social development aspects, such as capacity building and training, may significantly raise awareness of the impact of climate hazards, both current and future. </w:t>
      </w:r>
    </w:p>
    <w:p w14:paraId="765E6EA0" w14:textId="77777777" w:rsidR="00D70D43" w:rsidRDefault="00D70D43" w:rsidP="00D70D43">
      <w:pPr>
        <w:spacing w:before="120"/>
        <w:ind w:left="3" w:right="-432"/>
        <w:contextualSpacing/>
        <w:mirrorIndents/>
        <w:jc w:val="both"/>
        <w:rPr>
          <w:rFonts w:eastAsia="Times New Roman" w:cstheme="minorHAnsi"/>
        </w:rPr>
      </w:pPr>
    </w:p>
    <w:p w14:paraId="1FC6F5E0" w14:textId="77777777" w:rsidR="00D70D43" w:rsidRDefault="00D70D43" w:rsidP="002E38A2">
      <w:pPr>
        <w:numPr>
          <w:ilvl w:val="0"/>
          <w:numId w:val="20"/>
        </w:numPr>
        <w:spacing w:before="120"/>
        <w:ind w:right="-432"/>
        <w:contextualSpacing/>
        <w:mirrorIndents/>
        <w:jc w:val="both"/>
        <w:rPr>
          <w:rFonts w:eastAsia="Times New Roman" w:cstheme="minorHAnsi"/>
        </w:rPr>
      </w:pPr>
      <w:r w:rsidRPr="00021623">
        <w:rPr>
          <w:rFonts w:eastAsia="Times New Roman" w:cstheme="minorHAnsi"/>
        </w:rPr>
        <w:lastRenderedPageBreak/>
        <w:t>Component 3 - Demonstrating application of technological tools and economic approaches - will finance specific demonstration projects for cleaner technology in areas contaminated by chemical waste. These investments will be based on a standard set of (social, environment and economic) criteria,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the ongoing Bank operation “Zambia – Mining and Environmental Remediation and Improvement Project (P154683)”. The selection process will be guided by the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World Bank Group’s Environmental and Social Standards. The proposed pilots with the following characteristics will not be considered for support under this Program: - Proposals with high level of environmental and social risk; and - Proposals requiring land acquisition or involuntary resettlement.</w:t>
      </w:r>
    </w:p>
    <w:p w14:paraId="2ED34EB2" w14:textId="77777777" w:rsidR="00D70D43" w:rsidRDefault="00D70D43" w:rsidP="00D70D43">
      <w:pPr>
        <w:spacing w:before="120"/>
        <w:ind w:left="3" w:right="-432"/>
        <w:contextualSpacing/>
        <w:mirrorIndents/>
        <w:jc w:val="both"/>
        <w:rPr>
          <w:rFonts w:eastAsia="Times New Roman" w:cstheme="minorHAnsi"/>
        </w:rPr>
      </w:pPr>
    </w:p>
    <w:p w14:paraId="7B7EBE9A" w14:textId="77777777" w:rsidR="00D70D43" w:rsidRDefault="00D70D43" w:rsidP="002E38A2">
      <w:pPr>
        <w:numPr>
          <w:ilvl w:val="0"/>
          <w:numId w:val="20"/>
        </w:numPr>
        <w:spacing w:before="120"/>
        <w:ind w:right="-432"/>
        <w:contextualSpacing/>
        <w:mirrorIndents/>
        <w:jc w:val="both"/>
        <w:rPr>
          <w:rFonts w:eastAsia="Times New Roman" w:cstheme="minorHAnsi"/>
        </w:rPr>
      </w:pPr>
      <w:r w:rsidRPr="009F0ABC">
        <w:rPr>
          <w:rFonts w:eastAsia="Times New Roman" w:cstheme="minorHAnsi"/>
        </w:rPr>
        <w:t xml:space="preserve">The environmental risk classification for the Project is Substantial under the World Bank ESF, based on the nature and scale of the demonstration project activities, which include potential impacts from managing hazardous waste, however, majority of the impacts likely to be generated from the project activities are site-specific, limited in number, and can be mitigated with measures that are readily identifiable.  These pilot activities will be designed to demonstrate a use of new technologies to reduce </w:t>
      </w:r>
      <w:proofErr w:type="spellStart"/>
      <w:r w:rsidRPr="009F0ABC">
        <w:rPr>
          <w:rFonts w:eastAsia="Times New Roman" w:cstheme="minorHAnsi"/>
        </w:rPr>
        <w:t>uPOP</w:t>
      </w:r>
      <w:proofErr w:type="spellEnd"/>
      <w:r w:rsidRPr="009F0ABC">
        <w:rPr>
          <w:rFonts w:eastAsia="Times New Roman" w:cstheme="minorHAnsi"/>
        </w:rPr>
        <w:t xml:space="preserve"> emissions associated with waste management. The implementing agency has knowledge and capacity to manage the environmental risks under the proposed pilot interventions.  However, the implementing agency will need to build additional capacity for contract management during pilot implementation and for managing social and environmental risks and impacts beyond aspects that are generally included in the ESSs. However, most interventions under the project are not likely to result in significant environmental, health or social impacts as they will be designed to reduce environmental health impacts and address the source of the impact.</w:t>
      </w:r>
    </w:p>
    <w:p w14:paraId="48632623" w14:textId="77777777" w:rsidR="00D70D43" w:rsidRDefault="00D70D43" w:rsidP="00D70D43">
      <w:pPr>
        <w:spacing w:before="120"/>
        <w:ind w:left="3" w:right="-432"/>
        <w:contextualSpacing/>
        <w:mirrorIndents/>
        <w:jc w:val="both"/>
        <w:rPr>
          <w:rFonts w:eastAsia="Times New Roman" w:cstheme="minorHAnsi"/>
        </w:rPr>
      </w:pPr>
    </w:p>
    <w:p w14:paraId="1EBAE0DD" w14:textId="77777777" w:rsidR="00D70D43" w:rsidRDefault="00D70D43" w:rsidP="002E38A2">
      <w:pPr>
        <w:numPr>
          <w:ilvl w:val="0"/>
          <w:numId w:val="20"/>
        </w:numPr>
        <w:spacing w:before="120"/>
        <w:ind w:right="-432"/>
        <w:contextualSpacing/>
        <w:mirrorIndents/>
        <w:jc w:val="both"/>
        <w:rPr>
          <w:rFonts w:eastAsia="Times New Roman" w:cstheme="minorHAnsi"/>
        </w:rPr>
      </w:pPr>
      <w:r w:rsidRPr="006F042C">
        <w:rPr>
          <w:rFonts w:eastAsia="Times New Roman" w:cstheme="minorHAnsi"/>
        </w:rPr>
        <w:t>Since the exact locations and site-specific details of the activities and scope of works are not yet identified, the relevant safeguards instrument at appraisal stage is an Environmental and Social Management Framework (ESMF). The ESMF provides detailed step-by-step processes for identification and screening of critical environment and social risks; procedures for evaluating the significance of environmental risks and impacts; development of site-specific mitigation and monitoring plans when subproject details are identified; and institutional arrangements for safeguards implementation and capacity building measures. The ESMF provides guidelines for the development of ESIAs and ESMPs that will present mitigation measures to address the potential environmental and social impacts at the subproject level, once the activities location and scope have been identified.</w:t>
      </w:r>
    </w:p>
    <w:p w14:paraId="02513117" w14:textId="77777777" w:rsidR="00D70D43" w:rsidRPr="0050738A" w:rsidRDefault="00D70D43" w:rsidP="00D70D43">
      <w:pPr>
        <w:rPr>
          <w:rFonts w:eastAsia="Times New Roman" w:cstheme="minorHAnsi"/>
        </w:rPr>
      </w:pPr>
    </w:p>
    <w:p w14:paraId="7FD4F8AC" w14:textId="77777777" w:rsidR="00D70D43" w:rsidRDefault="00D70D43" w:rsidP="002E38A2">
      <w:pPr>
        <w:numPr>
          <w:ilvl w:val="0"/>
          <w:numId w:val="20"/>
        </w:numPr>
        <w:spacing w:before="120"/>
        <w:ind w:right="-432"/>
        <w:contextualSpacing/>
        <w:mirrorIndents/>
        <w:jc w:val="both"/>
        <w:rPr>
          <w:rFonts w:eastAsia="Times New Roman" w:cstheme="minorHAnsi"/>
        </w:rPr>
      </w:pPr>
      <w:r w:rsidRPr="0050738A">
        <w:rPr>
          <w:rFonts w:eastAsia="Times New Roman" w:cstheme="minorHAnsi"/>
        </w:rPr>
        <w:t xml:space="preserve">Based on ESMF screening criteria, the following activities have been identified that might cause significant adverse impacts, proposed for funding in the second year of the project: (a) the closure or rehabilitation of TDs and remediation of contaminated hotspots; (b) development of a solid and hazardous waste disposal facility </w:t>
      </w:r>
      <w:r w:rsidRPr="0050738A">
        <w:rPr>
          <w:rFonts w:eastAsia="Times New Roman" w:cstheme="minorHAnsi"/>
        </w:rPr>
        <w:lastRenderedPageBreak/>
        <w:t xml:space="preserve">in </w:t>
      </w:r>
      <w:proofErr w:type="spellStart"/>
      <w:r w:rsidRPr="0050738A">
        <w:rPr>
          <w:rFonts w:eastAsia="Times New Roman" w:cstheme="minorHAnsi"/>
        </w:rPr>
        <w:t>Kabwe</w:t>
      </w:r>
      <w:proofErr w:type="spellEnd"/>
      <w:r w:rsidRPr="0050738A">
        <w:rPr>
          <w:rFonts w:eastAsia="Times New Roman" w:cstheme="minorHAnsi"/>
        </w:rPr>
        <w:t xml:space="preserve">; and (c) improving the drainage and flow of </w:t>
      </w:r>
      <w:proofErr w:type="spellStart"/>
      <w:r w:rsidRPr="0050738A">
        <w:rPr>
          <w:rFonts w:eastAsia="Times New Roman" w:cstheme="minorHAnsi"/>
        </w:rPr>
        <w:t>Kabwe</w:t>
      </w:r>
      <w:proofErr w:type="spellEnd"/>
      <w:r w:rsidRPr="0050738A">
        <w:rPr>
          <w:rFonts w:eastAsia="Times New Roman" w:cstheme="minorHAnsi"/>
        </w:rPr>
        <w:t xml:space="preserve"> canal to reduce the risks of flooding in the neighboring community. Based on the application of the procedures outlined in the ESMF, site specific ESIA and/or ESMP will be prepared for all subprojects based on the screening, and publicly disclosed, prior to finalization of the design and commencement of construction. During subproject preparation, the project implementing teams will use the ESIA/ESMP findings to further improve project designs and minimize adverse impacts while maximizing positive impact on people and environment.</w:t>
      </w:r>
    </w:p>
    <w:p w14:paraId="2854DCF8" w14:textId="77777777" w:rsidR="00D70D43" w:rsidRDefault="00D70D43" w:rsidP="00D70D43">
      <w:pPr>
        <w:rPr>
          <w:rFonts w:eastAsia="Calibri" w:cstheme="minorHAnsi"/>
          <w:b/>
        </w:rPr>
      </w:pPr>
    </w:p>
    <w:p w14:paraId="595129BE" w14:textId="77777777" w:rsidR="00D70D43" w:rsidRDefault="00D70D43" w:rsidP="002E38A2">
      <w:pPr>
        <w:numPr>
          <w:ilvl w:val="0"/>
          <w:numId w:val="20"/>
        </w:numPr>
        <w:spacing w:before="120"/>
        <w:ind w:right="-432"/>
        <w:contextualSpacing/>
        <w:mirrorIndents/>
        <w:jc w:val="both"/>
        <w:rPr>
          <w:rFonts w:eastAsia="Times New Roman" w:cstheme="minorHAnsi"/>
        </w:rPr>
      </w:pPr>
      <w:r w:rsidRPr="00AF3BAB">
        <w:rPr>
          <w:rFonts w:eastAsia="Calibri" w:cstheme="minorHAnsi"/>
          <w:b/>
        </w:rPr>
        <w:t>IMPLEMENTATION ARRANGEMENTS AND SUPPORT PLAN</w:t>
      </w:r>
    </w:p>
    <w:p w14:paraId="19BB46B3" w14:textId="77777777" w:rsidR="00D70D43" w:rsidRDefault="00D70D43" w:rsidP="00D70D43">
      <w:pPr>
        <w:spacing w:before="120"/>
        <w:ind w:left="3" w:right="-432"/>
        <w:contextualSpacing/>
        <w:mirrorIndents/>
        <w:jc w:val="both"/>
        <w:rPr>
          <w:rFonts w:eastAsia="Times New Roman" w:cstheme="minorHAnsi"/>
          <w:b/>
        </w:rPr>
      </w:pPr>
    </w:p>
    <w:p w14:paraId="4094115A" w14:textId="77777777" w:rsidR="00D70D43" w:rsidRPr="003B08B1" w:rsidRDefault="00D70D43" w:rsidP="00D70D43">
      <w:pPr>
        <w:spacing w:before="120"/>
        <w:ind w:left="3" w:right="-432"/>
        <w:contextualSpacing/>
        <w:mirrorIndents/>
        <w:jc w:val="both"/>
        <w:rPr>
          <w:rFonts w:eastAsia="Times New Roman" w:cstheme="minorHAnsi"/>
        </w:rPr>
      </w:pPr>
      <w:r w:rsidRPr="003B08B1">
        <w:rPr>
          <w:rFonts w:eastAsia="Times New Roman" w:cstheme="minorHAnsi"/>
          <w:b/>
        </w:rPr>
        <w:t>Procurement:</w:t>
      </w:r>
      <w:r w:rsidRPr="003B08B1">
        <w:rPr>
          <w:rFonts w:eastAsia="Times New Roman" w:cstheme="minorHAnsi"/>
        </w:rPr>
        <w:t xml:space="preserve"> </w:t>
      </w:r>
    </w:p>
    <w:p w14:paraId="0EA70311" w14:textId="77777777" w:rsidR="00D70D43" w:rsidRDefault="00D70D43" w:rsidP="002E38A2">
      <w:pPr>
        <w:numPr>
          <w:ilvl w:val="0"/>
          <w:numId w:val="20"/>
        </w:numPr>
        <w:spacing w:before="120"/>
        <w:ind w:right="-432"/>
        <w:contextualSpacing/>
        <w:mirrorIndents/>
        <w:jc w:val="both"/>
        <w:rPr>
          <w:rFonts w:eastAsia="Times New Roman" w:cstheme="minorHAnsi"/>
        </w:rPr>
      </w:pPr>
      <w:r w:rsidRPr="00CD5B3A">
        <w:rPr>
          <w:rFonts w:eastAsia="Times New Roman" w:cstheme="minorHAnsi"/>
        </w:rPr>
        <w:t xml:space="preserve">ZEMA will be responsible for the procurement implementation of the Project. The Project will make use of existing arrangements under the ZMERIP Project. Procurement capacity assessments of the implementing agency (ZEMA) for the Project was carried out as part of Project preparation. The assessment concluded that procurement management arrangements in place are adequate and compliant with the Procurement Guidelines. Procurement under the proposed project will be carried out in accordance with the World Bank New Procurement Framework “Procurement Regulations for Investment Project Financing (IPF) for Borrowers – Goods, Works, Non-Consulting and Consulting Services’ dated July 2016; ii) “Guidelines on Preventing and Combating Fraud and Corruption in Projects Financed by IBRD Loans and IDA Credits and Grants, (the Anti-Corruption Guidelines)” dated October 15, 2006 and revised in January 2011; and iv) the provisions stipulated in the legal agreement. The procurement procedure to be followed for National Competitive Bidding (“NCB”) shall be the open bidding procedure set forth in the Public Procurement Act, 2008, Act. No.12 of 2008, as amended by the Public Procurement (Amendment) Act, 2011, Act No. 15 of 2011 (the “PPA”), and the Public Procurement Regulations, 2011, Statutory Instrument No. 63 of 2011 (the “Regulations”); provided, however, that such procedure shall be subject to the provisions of Section I and Paragraphs 3.3 and 3.4 of Section III, and Appendix 1 of the Procurement Guidelines, and the additional provisions as provided in Annex 2 Procurement. </w:t>
      </w:r>
    </w:p>
    <w:p w14:paraId="382D682F" w14:textId="77777777" w:rsidR="00D70D43" w:rsidRDefault="00D70D43" w:rsidP="00D70D43">
      <w:pPr>
        <w:spacing w:before="120"/>
        <w:ind w:left="3" w:right="-432"/>
        <w:contextualSpacing/>
        <w:mirrorIndents/>
        <w:jc w:val="both"/>
        <w:rPr>
          <w:rFonts w:eastAsia="Times New Roman" w:cstheme="minorHAnsi"/>
        </w:rPr>
      </w:pPr>
    </w:p>
    <w:p w14:paraId="4102B814" w14:textId="77777777" w:rsidR="00D70D43" w:rsidRPr="00CD5B3A" w:rsidRDefault="00D70D43" w:rsidP="002E38A2">
      <w:pPr>
        <w:numPr>
          <w:ilvl w:val="0"/>
          <w:numId w:val="20"/>
        </w:numPr>
        <w:spacing w:before="120"/>
        <w:ind w:right="-432"/>
        <w:contextualSpacing/>
        <w:mirrorIndents/>
        <w:jc w:val="both"/>
        <w:rPr>
          <w:rFonts w:eastAsia="Times New Roman" w:cstheme="minorHAnsi"/>
        </w:rPr>
      </w:pPr>
      <w:r w:rsidRPr="00CD5B3A">
        <w:rPr>
          <w:rFonts w:eastAsia="Times New Roman" w:cstheme="minorHAnsi"/>
        </w:rPr>
        <w:t xml:space="preserve">Procurement Plan. The Borrower has developed a procurement plan for project implementation which provides the basis for specifying the required procurement methods.  The procurement plan will be updated in agreement with the project team annually or as required to reflect the actual project implementation needs and improvements in institutional capacity. Details of Contract Packages to be procured under the project will be finalized and submitted to the Bank before negotiations. </w:t>
      </w:r>
    </w:p>
    <w:p w14:paraId="205CAB6A" w14:textId="77777777" w:rsidR="00D70D43" w:rsidRPr="00435D1F" w:rsidRDefault="00D70D43" w:rsidP="00D70D43">
      <w:pPr>
        <w:spacing w:before="120"/>
        <w:ind w:left="3" w:right="-432"/>
        <w:contextualSpacing/>
        <w:mirrorIndents/>
        <w:jc w:val="both"/>
        <w:rPr>
          <w:rFonts w:eastAsia="Times New Roman" w:cstheme="minorHAnsi"/>
        </w:rPr>
      </w:pPr>
    </w:p>
    <w:p w14:paraId="1E28B450" w14:textId="77777777" w:rsidR="00D70D43" w:rsidRPr="00435D1F" w:rsidRDefault="00D70D43" w:rsidP="002E38A2">
      <w:pPr>
        <w:numPr>
          <w:ilvl w:val="1"/>
          <w:numId w:val="20"/>
        </w:numPr>
        <w:spacing w:before="120"/>
        <w:ind w:right="-432"/>
        <w:contextualSpacing/>
        <w:jc w:val="both"/>
        <w:rPr>
          <w:rFonts w:eastAsia="Times New Roman" w:cstheme="minorHAnsi"/>
        </w:rPr>
      </w:pPr>
      <w:r w:rsidRPr="00435D1F">
        <w:rPr>
          <w:rFonts w:eastAsia="Calibri" w:cstheme="minorHAnsi"/>
          <w:i/>
        </w:rPr>
        <w:t>Methods of procurement of goods and works are as follows:</w:t>
      </w:r>
    </w:p>
    <w:p w14:paraId="1A9A1A63"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t xml:space="preserve">International Competitive Bidding. Except as otherwise provided, goods and works shall be procured under contracts awarded </w:t>
      </w:r>
      <w:proofErr w:type="gramStart"/>
      <w:r w:rsidRPr="00435D1F">
        <w:rPr>
          <w:rFonts w:eastAsia="Times New Roman" w:cstheme="minorHAnsi"/>
        </w:rPr>
        <w:t>on the basis of</w:t>
      </w:r>
      <w:proofErr w:type="gramEnd"/>
      <w:r w:rsidRPr="00435D1F">
        <w:rPr>
          <w:rFonts w:eastAsia="Times New Roman" w:cstheme="minorHAnsi"/>
        </w:rPr>
        <w:t xml:space="preserve"> International Competitive Bidding (ICB).</w:t>
      </w:r>
    </w:p>
    <w:p w14:paraId="24F2F9B8"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t xml:space="preserve">Other methods of procurement of goods and works. The following list specifies the methods of procurement, other than International Competitive Bidding which may be used for goods and works. The Procurement Plan specifies the circumstances under which such methods may be used: (i) National Competitive Bidding; (ii) Procurement from UN agencies; (iii) Force Account; (iv) Shopping; (v) Direct Contracting; (vi) Community Participation in Procurement. </w:t>
      </w:r>
    </w:p>
    <w:p w14:paraId="1862D2B3" w14:textId="77777777" w:rsidR="00D70D43" w:rsidRDefault="00D70D43" w:rsidP="00D70D43">
      <w:pPr>
        <w:spacing w:before="120"/>
        <w:ind w:left="1368" w:right="-432"/>
        <w:contextualSpacing/>
        <w:mirrorIndents/>
        <w:jc w:val="both"/>
        <w:rPr>
          <w:rFonts w:eastAsia="Times New Roman" w:cstheme="minorHAnsi"/>
        </w:rPr>
      </w:pPr>
    </w:p>
    <w:p w14:paraId="2239E21D" w14:textId="77777777" w:rsidR="00D70D43" w:rsidRDefault="00D70D43" w:rsidP="002E38A2">
      <w:pPr>
        <w:numPr>
          <w:ilvl w:val="1"/>
          <w:numId w:val="20"/>
        </w:numPr>
        <w:spacing w:before="120"/>
        <w:ind w:right="-432"/>
        <w:contextualSpacing/>
        <w:mirrorIndents/>
        <w:jc w:val="both"/>
        <w:rPr>
          <w:rFonts w:eastAsia="Times New Roman" w:cstheme="minorHAnsi"/>
        </w:rPr>
      </w:pPr>
      <w:r w:rsidRPr="00435D1F">
        <w:rPr>
          <w:rFonts w:eastAsia="Times New Roman" w:cstheme="minorHAnsi"/>
          <w:i/>
        </w:rPr>
        <w:t xml:space="preserve">Methods of procurement for consulting services are: </w:t>
      </w:r>
    </w:p>
    <w:p w14:paraId="21A43825"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lastRenderedPageBreak/>
        <w:t xml:space="preserve">Quality and Cost-Based Selection (QCBS). Except as otherwise provided in the paragraph below, consultants services shall be procured under contracts awarded </w:t>
      </w:r>
      <w:proofErr w:type="gramStart"/>
      <w:r w:rsidRPr="00435D1F">
        <w:rPr>
          <w:rFonts w:eastAsia="Times New Roman" w:cstheme="minorHAnsi"/>
        </w:rPr>
        <w:t>on the basis of</w:t>
      </w:r>
      <w:proofErr w:type="gramEnd"/>
      <w:r w:rsidRPr="00435D1F">
        <w:rPr>
          <w:rFonts w:eastAsia="Times New Roman" w:cstheme="minorHAnsi"/>
        </w:rPr>
        <w:t xml:space="preserve"> Quality and Cost-Based Selection. </w:t>
      </w:r>
    </w:p>
    <w:p w14:paraId="340AB377" w14:textId="77777777" w:rsidR="00D70D43" w:rsidRDefault="00D70D43" w:rsidP="002E38A2">
      <w:pPr>
        <w:numPr>
          <w:ilvl w:val="2"/>
          <w:numId w:val="20"/>
        </w:numPr>
        <w:spacing w:before="120"/>
        <w:ind w:right="-432"/>
        <w:contextualSpacing/>
        <w:mirrorIndents/>
        <w:jc w:val="both"/>
        <w:rPr>
          <w:rFonts w:eastAsia="Times New Roman" w:cstheme="minorHAnsi"/>
        </w:rPr>
      </w:pPr>
      <w:r w:rsidRPr="00435D1F">
        <w:rPr>
          <w:rFonts w:eastAsia="Times New Roman" w:cstheme="minorHAnsi"/>
        </w:rPr>
        <w:t xml:space="preserve">Other methods of procurement of consultants’ services. The following list specifies selection methods, other than Quality and Cost-Based Selection, which may be used for consultants’ services. The Procurement Plan shall specify the circumstances under which such methods may be used: (i) Quality-Based Selection (QBS); (ii) Selection based on the Consultant’s Qualifications (CQS); (iii) Least-Cost Selection (LCS); (iv) Single-Source Selection for firms (SSS); (v) Individual Consultants (IC); and (vi) Single-Source Selection for IC (SSS). </w:t>
      </w:r>
    </w:p>
    <w:p w14:paraId="1993B5C6" w14:textId="77777777" w:rsidR="00D70D43" w:rsidRDefault="00D70D43" w:rsidP="00D70D43">
      <w:pPr>
        <w:spacing w:before="120"/>
        <w:ind w:left="3" w:right="-432"/>
        <w:contextualSpacing/>
        <w:mirrorIndents/>
        <w:jc w:val="both"/>
        <w:rPr>
          <w:rFonts w:eastAsia="Times New Roman" w:cstheme="minorHAnsi"/>
        </w:rPr>
      </w:pPr>
    </w:p>
    <w:p w14:paraId="52B122BA" w14:textId="77777777" w:rsidR="00D70D43" w:rsidRDefault="00D70D43" w:rsidP="00D70D43">
      <w:pPr>
        <w:spacing w:before="120"/>
        <w:ind w:left="3" w:right="-432"/>
        <w:contextualSpacing/>
        <w:mirrorIndents/>
        <w:jc w:val="both"/>
        <w:rPr>
          <w:rFonts w:eastAsia="Times New Roman" w:cstheme="minorHAnsi"/>
        </w:rPr>
      </w:pPr>
      <w:r w:rsidRPr="00453A8C">
        <w:rPr>
          <w:rFonts w:eastAsia="Times New Roman" w:cstheme="minorHAnsi"/>
          <w:b/>
        </w:rPr>
        <w:t xml:space="preserve">Financial Management: </w:t>
      </w:r>
    </w:p>
    <w:p w14:paraId="708E2371" w14:textId="77777777" w:rsidR="00D70D43" w:rsidRDefault="00D70D43" w:rsidP="00D70D43">
      <w:pPr>
        <w:spacing w:before="120"/>
        <w:ind w:left="3" w:right="-432"/>
        <w:contextualSpacing/>
        <w:mirrorIndents/>
        <w:jc w:val="both"/>
        <w:rPr>
          <w:rFonts w:eastAsia="Times New Roman" w:cstheme="minorHAnsi"/>
        </w:rPr>
      </w:pPr>
    </w:p>
    <w:p w14:paraId="17F29925" w14:textId="77777777" w:rsidR="00D70D43" w:rsidRPr="00453A8C" w:rsidRDefault="00D70D43" w:rsidP="002E38A2">
      <w:pPr>
        <w:numPr>
          <w:ilvl w:val="0"/>
          <w:numId w:val="20"/>
        </w:numPr>
        <w:spacing w:before="120"/>
        <w:ind w:right="-432"/>
        <w:contextualSpacing/>
        <w:mirrorIndents/>
        <w:jc w:val="both"/>
        <w:rPr>
          <w:rFonts w:eastAsia="Times New Roman" w:cstheme="minorHAnsi"/>
        </w:rPr>
      </w:pPr>
      <w:r w:rsidRPr="00453A8C">
        <w:rPr>
          <w:rFonts w:eastAsia="Times New Roman" w:cstheme="minorHAnsi"/>
        </w:rPr>
        <w:t xml:space="preserve">An FM assessment was carried out for Zambia Environmental Agency (ZEMA). The objective of the assessment was to determine whether ZEMA (the implementing entity) has acceptable financial management arrangements in place that satisfy the Bank’s Operation Policy/Bank Procedure (OP/BP) 10.00. These arrangements would ensure that the implementing entity: (i) use Project funds only for the intended purposes in an efficient and economical way; (ii) prepare accurate and reliable accounts as well as timely periodic financial reports; (iii) safeguard assets of the Project; and (iv) have acceptable auditing arrangements. The FM assessment was carried out in accordance with the Financial Management Manual issued by the FM Sector Board on March 1, 2010 and retrofitted on February 4, 2015. </w:t>
      </w:r>
    </w:p>
    <w:p w14:paraId="50E9D3EB" w14:textId="77777777" w:rsidR="00D70D43" w:rsidRDefault="00D70D43" w:rsidP="00D70D43">
      <w:pPr>
        <w:spacing w:before="120"/>
        <w:ind w:left="3" w:right="-432"/>
        <w:contextualSpacing/>
        <w:mirrorIndents/>
        <w:jc w:val="both"/>
        <w:rPr>
          <w:rFonts w:eastAsia="Times New Roman" w:cstheme="minorHAnsi"/>
        </w:rPr>
      </w:pPr>
    </w:p>
    <w:p w14:paraId="3573B00B" w14:textId="77777777" w:rsidR="00D70D43" w:rsidRDefault="00D70D43" w:rsidP="002E38A2">
      <w:pPr>
        <w:numPr>
          <w:ilvl w:val="0"/>
          <w:numId w:val="20"/>
        </w:numPr>
        <w:spacing w:before="120"/>
        <w:ind w:right="-432"/>
        <w:contextualSpacing/>
        <w:mirrorIndents/>
        <w:jc w:val="both"/>
        <w:rPr>
          <w:rFonts w:eastAsia="Times New Roman" w:cstheme="minorHAnsi"/>
        </w:rPr>
      </w:pPr>
      <w:r w:rsidRPr="00E73E60">
        <w:rPr>
          <w:rFonts w:eastAsia="Times New Roman" w:cstheme="minorHAnsi"/>
          <w:i/>
        </w:rPr>
        <w:t>Strengths and Weaknesses:</w:t>
      </w:r>
      <w:r w:rsidRPr="00E73E60">
        <w:rPr>
          <w:rFonts w:eastAsia="Times New Roman" w:cstheme="minorHAnsi"/>
        </w:rPr>
        <w:t xml:space="preserve"> The main strength identified is that the project will use the existing financial management arrangements at ZEMA including staff, financial regulations and procedures. The accounting system is computerized </w:t>
      </w:r>
      <w:proofErr w:type="gramStart"/>
      <w:r w:rsidRPr="00E73E60">
        <w:rPr>
          <w:rFonts w:eastAsia="Times New Roman" w:cstheme="minorHAnsi"/>
        </w:rPr>
        <w:t>through the use of</w:t>
      </w:r>
      <w:proofErr w:type="gramEnd"/>
      <w:r w:rsidRPr="00E73E60">
        <w:rPr>
          <w:rFonts w:eastAsia="Times New Roman" w:cstheme="minorHAnsi"/>
        </w:rPr>
        <w:t xml:space="preserve"> SAGE Revolution. ZEMA Finance Manager will have overall responsibility for the project’s financial management. The weaknesses identified is that (i) accounting staff are not adequate; (ii) only one accounting staff is trained in the Bank’s financial management and disbursement procedures; (iii) intermittent delays in receiving government funding.  Internal control weaknesses from management letters for year ended December 2016 and 2017 included (i) failure to remit statutory obligations on time; and (ii) late retirement of </w:t>
      </w:r>
      <w:proofErr w:type="spellStart"/>
      <w:r w:rsidRPr="00E73E60">
        <w:rPr>
          <w:rFonts w:eastAsia="Times New Roman" w:cstheme="minorHAnsi"/>
        </w:rPr>
        <w:t>imprest</w:t>
      </w:r>
      <w:proofErr w:type="spellEnd"/>
      <w:r w:rsidRPr="00E73E60">
        <w:rPr>
          <w:rFonts w:eastAsia="Times New Roman" w:cstheme="minorHAnsi"/>
        </w:rPr>
        <w:t>. Therefore, it is recommended that: (i) ZEMA recruits a qualified and experienced project accountant, who will report to the Finance Manager, for the project as a condition of effectiveness; (2) the newly-recruited project accountant, including existing staff and internal auditors, be trained in World Bank financial management and disbursements procedures continuously throughout the life of the project; and (3) ZEMA develops a Project Implementation Manual (PIM), including financial procedures before Effectiveness.</w:t>
      </w:r>
    </w:p>
    <w:p w14:paraId="32356F63" w14:textId="77777777" w:rsidR="00D70D43" w:rsidRPr="00226DC5" w:rsidRDefault="00D70D43" w:rsidP="00D70D43">
      <w:pPr>
        <w:spacing w:before="120"/>
        <w:ind w:left="3" w:right="-432"/>
        <w:contextualSpacing/>
        <w:mirrorIndents/>
        <w:jc w:val="both"/>
        <w:rPr>
          <w:rFonts w:eastAsia="Times New Roman" w:cstheme="minorHAnsi"/>
        </w:rPr>
      </w:pPr>
    </w:p>
    <w:p w14:paraId="46FEF731" w14:textId="77777777" w:rsidR="00D70D43" w:rsidRDefault="00D70D43" w:rsidP="002E38A2">
      <w:pPr>
        <w:numPr>
          <w:ilvl w:val="0"/>
          <w:numId w:val="20"/>
        </w:numPr>
        <w:spacing w:before="120"/>
        <w:ind w:right="-432"/>
        <w:contextualSpacing/>
        <w:mirrorIndents/>
        <w:jc w:val="both"/>
        <w:rPr>
          <w:rFonts w:eastAsia="Times New Roman" w:cstheme="minorHAnsi"/>
        </w:rPr>
      </w:pPr>
      <w:r w:rsidRPr="00226DC5">
        <w:rPr>
          <w:rFonts w:eastAsia="Times New Roman" w:cstheme="minorHAnsi"/>
          <w:b/>
        </w:rPr>
        <w:t>Budgeting Arrangements:</w:t>
      </w:r>
      <w:r w:rsidRPr="00226DC5">
        <w:rPr>
          <w:rFonts w:eastAsia="Times New Roman" w:cstheme="minorHAnsi"/>
        </w:rPr>
        <w:t xml:space="preserve"> ZEMA will prepare its annual budget based on the procurement and work plans and to be submitted to the Bank at least two months before the beginning of the project’s fiscal year. The budget will follow ZEMA’s budgeting guidelines in the FM Manual. The budget should be approved before the beginning of financial year. During the financial year, the budget will be monitored on a quarterly basis using interim financial reports (IFRs). The IFRs will compare the budget and actual expenditure and significant variances will need to be explained. These IFRs will be expected to be submitted to the Bank within 45 days after the end of the calendar quarterly period. </w:t>
      </w:r>
    </w:p>
    <w:p w14:paraId="3E5DDE8E" w14:textId="77777777" w:rsidR="00D70D43" w:rsidRPr="00213E8D" w:rsidRDefault="00D70D43" w:rsidP="00D70D43">
      <w:pPr>
        <w:rPr>
          <w:rFonts w:eastAsia="Times New Roman" w:cstheme="minorHAnsi"/>
          <w:i/>
        </w:rPr>
      </w:pPr>
    </w:p>
    <w:p w14:paraId="322FB990" w14:textId="77777777" w:rsidR="00D70D43" w:rsidRDefault="00D70D43" w:rsidP="002E38A2">
      <w:pPr>
        <w:numPr>
          <w:ilvl w:val="0"/>
          <w:numId w:val="20"/>
        </w:numPr>
        <w:spacing w:before="120"/>
        <w:ind w:right="-432"/>
        <w:contextualSpacing/>
        <w:mirrorIndents/>
        <w:jc w:val="both"/>
        <w:rPr>
          <w:rFonts w:eastAsia="Times New Roman" w:cstheme="minorHAnsi"/>
        </w:rPr>
      </w:pPr>
      <w:r w:rsidRPr="00213E8D">
        <w:rPr>
          <w:rFonts w:eastAsia="Times New Roman" w:cstheme="minorHAnsi"/>
          <w:i/>
        </w:rPr>
        <w:t>Accounting Arrangements:</w:t>
      </w:r>
      <w:r w:rsidRPr="00213E8D">
        <w:rPr>
          <w:rFonts w:eastAsia="Times New Roman" w:cstheme="minorHAnsi"/>
        </w:rPr>
        <w:t xml:space="preserve"> ZEMA will prepare a Project Implementation Manual (PIM), including financial procedures. </w:t>
      </w:r>
    </w:p>
    <w:p w14:paraId="6BEEAA31" w14:textId="77777777" w:rsidR="00D70D43" w:rsidRPr="00213E8D" w:rsidRDefault="00D70D43" w:rsidP="00D70D43">
      <w:pPr>
        <w:rPr>
          <w:rFonts w:eastAsia="Times New Roman" w:cstheme="minorHAnsi"/>
          <w:i/>
        </w:rPr>
      </w:pPr>
    </w:p>
    <w:p w14:paraId="3E0414AF" w14:textId="77777777" w:rsidR="00D70D43" w:rsidRDefault="00D70D43" w:rsidP="002E38A2">
      <w:pPr>
        <w:numPr>
          <w:ilvl w:val="0"/>
          <w:numId w:val="20"/>
        </w:numPr>
        <w:spacing w:before="120"/>
        <w:ind w:right="-432"/>
        <w:contextualSpacing/>
        <w:mirrorIndents/>
        <w:jc w:val="both"/>
        <w:rPr>
          <w:rFonts w:eastAsia="Times New Roman" w:cstheme="minorHAnsi"/>
        </w:rPr>
      </w:pPr>
      <w:r w:rsidRPr="00213E8D">
        <w:rPr>
          <w:rFonts w:eastAsia="Times New Roman" w:cstheme="minorHAnsi"/>
          <w:i/>
        </w:rPr>
        <w:t>Accounting Staff:</w:t>
      </w:r>
      <w:r w:rsidRPr="00213E8D">
        <w:rPr>
          <w:rFonts w:eastAsia="Times New Roman" w:cstheme="minorHAnsi"/>
        </w:rPr>
        <w:t xml:space="preserve"> ZEMA has a finance department headed by a Finance Director who is deputized by a Finance Manager.  The Finance Manger is also assisted by an Accountant and 3 Assistant Accountants.  This arrangement is not adequate; therefore, the project will recruit a Project Accountant, who will report to the Finance Manager. All accounting staff and internal auditors of ZEMA will be trained in the Bank’s financial management and disbursement procedures during project implementation. Accounting Information Systems and Standards: ZEMA will use the existing Sage Revolution Accounting System to record and report on the project transactions. The Sage Revolution System is a tested accounting software as to its reliability. ZEMA uses International Financial Reporting Standards (IFRs) and these will apply to the project. </w:t>
      </w:r>
    </w:p>
    <w:p w14:paraId="3D9A5338" w14:textId="77777777" w:rsidR="00D70D43" w:rsidRPr="009D05D6" w:rsidRDefault="00D70D43" w:rsidP="00D70D43">
      <w:pPr>
        <w:rPr>
          <w:rFonts w:eastAsia="Times New Roman" w:cstheme="minorHAnsi"/>
          <w:b/>
        </w:rPr>
      </w:pPr>
    </w:p>
    <w:p w14:paraId="6477566C" w14:textId="77777777" w:rsidR="00D70D43" w:rsidRDefault="00D70D43" w:rsidP="002E38A2">
      <w:pPr>
        <w:numPr>
          <w:ilvl w:val="0"/>
          <w:numId w:val="20"/>
        </w:numPr>
        <w:spacing w:before="120"/>
        <w:ind w:right="-432"/>
        <w:contextualSpacing/>
        <w:mirrorIndents/>
        <w:jc w:val="both"/>
        <w:rPr>
          <w:rFonts w:eastAsia="Times New Roman" w:cstheme="minorHAnsi"/>
        </w:rPr>
      </w:pPr>
      <w:r w:rsidRPr="009D05D6">
        <w:rPr>
          <w:rFonts w:eastAsia="Times New Roman" w:cstheme="minorHAnsi"/>
          <w:b/>
        </w:rPr>
        <w:t>Internal Control and Internal Audit Arrangements:</w:t>
      </w:r>
      <w:r w:rsidRPr="009D05D6">
        <w:rPr>
          <w:rFonts w:eastAsia="Times New Roman" w:cstheme="minorHAnsi"/>
        </w:rPr>
        <w:t xml:space="preserve"> The internal control procedures will be documented in the FM manuals and Project Implementation Manuals to ensure an effective internal control system. ZEMA has also an internal audit department that is staffed with two qualified staff but will need to be trained in World Bank financial management and disbursement procedures.  Internal auditors should ensure that the project’s audit is included in their plans   and audits conducted to prevent and detect fraud and corruption. In addition, there are the World Bank Anti-Corruption Guidelines with which the project should comply. </w:t>
      </w:r>
    </w:p>
    <w:p w14:paraId="513B4739" w14:textId="77777777" w:rsidR="00D70D43" w:rsidRPr="00AB0787" w:rsidRDefault="00D70D43" w:rsidP="00D70D43">
      <w:pPr>
        <w:rPr>
          <w:rFonts w:eastAsia="Times New Roman" w:cstheme="minorHAnsi"/>
          <w:b/>
        </w:rPr>
      </w:pPr>
    </w:p>
    <w:p w14:paraId="6A283550"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b/>
        </w:rPr>
        <w:t>Funds Flow Arrangements:</w:t>
      </w:r>
      <w:r w:rsidRPr="00AB0787">
        <w:rPr>
          <w:rFonts w:eastAsia="Times New Roman" w:cstheme="minorHAnsi"/>
        </w:rPr>
        <w:t xml:space="preserve"> </w:t>
      </w:r>
    </w:p>
    <w:p w14:paraId="23923593" w14:textId="77777777" w:rsidR="00D70D43" w:rsidRPr="00AB0787" w:rsidRDefault="00D70D43" w:rsidP="00D70D43">
      <w:pPr>
        <w:rPr>
          <w:rFonts w:eastAsia="Times New Roman" w:cstheme="minorHAnsi"/>
          <w:i/>
        </w:rPr>
      </w:pPr>
    </w:p>
    <w:p w14:paraId="3B1E1761"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i/>
        </w:rPr>
        <w:t>Designated and Project Accounts:</w:t>
      </w:r>
      <w:r w:rsidRPr="00AB0787">
        <w:rPr>
          <w:rFonts w:eastAsia="Times New Roman" w:cstheme="minorHAnsi"/>
        </w:rPr>
        <w:t xml:space="preserve"> Funds will flow from IDA account to a Designated Account (DA) to be opened at a commercial bank acceptable to the Bank, to be managed by the ZEMA’s Project Accountant. The DA will hold the initial advance(s) and subsequent replenishments.  Funds in the DA will only be used to finance eligible expenditures of the component. </w:t>
      </w:r>
    </w:p>
    <w:p w14:paraId="0C73A8F3" w14:textId="77777777" w:rsidR="00D70D43" w:rsidRPr="00AB0787" w:rsidRDefault="00D70D43" w:rsidP="00D70D43">
      <w:pPr>
        <w:rPr>
          <w:rFonts w:eastAsia="Times New Roman" w:cstheme="minorHAnsi"/>
          <w:i/>
        </w:rPr>
      </w:pPr>
    </w:p>
    <w:p w14:paraId="4C253B68"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i/>
        </w:rPr>
        <w:t>Banking Arrangements.</w:t>
      </w:r>
      <w:r w:rsidRPr="00AB0787">
        <w:rPr>
          <w:rFonts w:eastAsia="Times New Roman" w:cstheme="minorHAnsi"/>
          <w:b/>
        </w:rPr>
        <w:t xml:space="preserve"> </w:t>
      </w:r>
      <w:r w:rsidRPr="00AB0787">
        <w:rPr>
          <w:rFonts w:eastAsia="Times New Roman" w:cstheme="minorHAnsi"/>
        </w:rPr>
        <w:t xml:space="preserve">ZEMA will open a Designated Account (DA) denominated in United States Dollars and a Project Account denominated in local currency. These will be maintained in a commercial bank acceptable to the Bank. The signatories to these accounts should be in line with the FM Manual and they should be submitted to the Bank between the signing of the project and its effectiveness. </w:t>
      </w:r>
    </w:p>
    <w:p w14:paraId="4B64E969" w14:textId="77777777" w:rsidR="00D70D43" w:rsidRPr="00AB0787" w:rsidRDefault="00D70D43" w:rsidP="00D70D43">
      <w:pPr>
        <w:rPr>
          <w:rFonts w:eastAsia="Times New Roman" w:cstheme="minorHAnsi"/>
          <w:b/>
        </w:rPr>
      </w:pPr>
    </w:p>
    <w:p w14:paraId="795B38CF" w14:textId="77777777" w:rsidR="00D70D43" w:rsidRDefault="00D70D43" w:rsidP="002E38A2">
      <w:pPr>
        <w:numPr>
          <w:ilvl w:val="0"/>
          <w:numId w:val="20"/>
        </w:numPr>
        <w:spacing w:before="120"/>
        <w:ind w:right="-432"/>
        <w:contextualSpacing/>
        <w:mirrorIndents/>
        <w:jc w:val="both"/>
        <w:rPr>
          <w:rFonts w:eastAsia="Times New Roman" w:cstheme="minorHAnsi"/>
        </w:rPr>
      </w:pPr>
      <w:r w:rsidRPr="00AB0787">
        <w:rPr>
          <w:rFonts w:eastAsia="Times New Roman" w:cstheme="minorHAnsi"/>
          <w:b/>
        </w:rPr>
        <w:t>Disbursement Arrangements:</w:t>
      </w:r>
      <w:r w:rsidRPr="00AB0787">
        <w:rPr>
          <w:rFonts w:eastAsia="Times New Roman" w:cstheme="minorHAnsi"/>
        </w:rPr>
        <w:t xml:space="preserve"> ZEMA will access funding from the Bank using the report-based disbursement method.  Withdrawal applications should be prepared within one month after Project effectiveness. Other methods of disbursement that can be used by ZEMA include direct payments, reimbursements and special commitments. If ineligible expenditures are found to have been made from the Designated and/or Project Accounts, the borrower will be obligated to refund the same. If the Designated Account remains inactive for more than six months, the Bank may reduce the amount advanced.  The Bank will have the right, as reflected </w:t>
      </w:r>
      <w:r w:rsidRPr="00AB0787">
        <w:rPr>
          <w:rFonts w:eastAsia="Times New Roman" w:cstheme="minorHAnsi"/>
        </w:rPr>
        <w:lastRenderedPageBreak/>
        <w:t>in the terms of the Financing Agreement, to suspend disbursement of the funds if significant conditions, including reporting requirements, are not complied with. Additional details regarding disbursement will be provided in the disbursement letters.</w:t>
      </w:r>
    </w:p>
    <w:p w14:paraId="3B9F4AF8" w14:textId="77777777" w:rsidR="00D70D43" w:rsidRDefault="00D70D43" w:rsidP="00D70D43">
      <w:pPr>
        <w:pStyle w:val="ListParagraph"/>
        <w:rPr>
          <w:rFonts w:eastAsia="Calibri" w:cstheme="minorHAnsi"/>
          <w:b/>
          <w:i/>
        </w:rPr>
      </w:pPr>
    </w:p>
    <w:p w14:paraId="690BE9FA" w14:textId="77777777" w:rsidR="00D70D43" w:rsidRPr="001E661C" w:rsidRDefault="00D70D43" w:rsidP="00D70D43">
      <w:pPr>
        <w:spacing w:before="120"/>
        <w:ind w:left="3" w:right="-432"/>
        <w:contextualSpacing/>
        <w:mirrorIndents/>
        <w:jc w:val="both"/>
        <w:rPr>
          <w:rFonts w:eastAsia="Times New Roman" w:cstheme="minorHAnsi"/>
        </w:rPr>
      </w:pPr>
      <w:r w:rsidRPr="00880538">
        <w:rPr>
          <w:rFonts w:eastAsia="Calibri" w:cstheme="minorHAnsi"/>
          <w:noProof/>
        </w:rPr>
        <w:drawing>
          <wp:inline distT="0" distB="0" distL="0" distR="0" wp14:anchorId="00C1FB9E" wp14:editId="2CDE9186">
            <wp:extent cx="5943600" cy="344838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140205"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5943600" cy="3448380"/>
                    </a:xfrm>
                    <a:prstGeom prst="rect">
                      <a:avLst/>
                    </a:prstGeom>
                    <a:noFill/>
                    <a:ln>
                      <a:noFill/>
                    </a:ln>
                  </pic:spPr>
                </pic:pic>
              </a:graphicData>
            </a:graphic>
          </wp:inline>
        </w:drawing>
      </w:r>
    </w:p>
    <w:p w14:paraId="091C0C84" w14:textId="77777777" w:rsidR="00D70D43" w:rsidRDefault="00D70D43" w:rsidP="00D70D43">
      <w:pPr>
        <w:spacing w:before="120"/>
        <w:ind w:left="3" w:right="-432"/>
        <w:contextualSpacing/>
        <w:mirrorIndents/>
        <w:jc w:val="both"/>
        <w:rPr>
          <w:rFonts w:eastAsia="Times New Roman" w:cstheme="minorHAnsi"/>
        </w:rPr>
      </w:pPr>
      <w:r w:rsidRPr="001E661C">
        <w:rPr>
          <w:rFonts w:eastAsia="Calibri" w:cstheme="minorHAnsi"/>
          <w:b/>
          <w:i/>
        </w:rPr>
        <w:t>Figure x:</w:t>
      </w:r>
      <w:r w:rsidRPr="001E661C">
        <w:rPr>
          <w:rFonts w:eastAsia="Calibri" w:cstheme="minorHAnsi"/>
          <w:i/>
        </w:rPr>
        <w:t xml:space="preserve"> ZEMA: Flow of Funds</w:t>
      </w:r>
    </w:p>
    <w:p w14:paraId="1418DEA0" w14:textId="77777777" w:rsidR="00D70D43" w:rsidRPr="001E661C" w:rsidRDefault="00D70D43" w:rsidP="00D70D43">
      <w:pPr>
        <w:rPr>
          <w:rFonts w:eastAsia="Times New Roman" w:cstheme="minorHAnsi"/>
          <w:i/>
        </w:rPr>
      </w:pPr>
    </w:p>
    <w:p w14:paraId="19215C38" w14:textId="77777777" w:rsidR="00D70D43" w:rsidRDefault="00D70D43" w:rsidP="002E38A2">
      <w:pPr>
        <w:numPr>
          <w:ilvl w:val="0"/>
          <w:numId w:val="20"/>
        </w:numPr>
        <w:spacing w:before="120"/>
        <w:ind w:right="-432"/>
        <w:contextualSpacing/>
        <w:mirrorIndents/>
        <w:jc w:val="both"/>
        <w:rPr>
          <w:rFonts w:eastAsia="Times New Roman" w:cstheme="minorHAnsi"/>
        </w:rPr>
      </w:pPr>
      <w:r w:rsidRPr="001E661C">
        <w:rPr>
          <w:rFonts w:eastAsia="Times New Roman" w:cstheme="minorHAnsi"/>
          <w:i/>
        </w:rPr>
        <w:t>Financial Reporting Arrangements:</w:t>
      </w:r>
      <w:r w:rsidRPr="001E661C">
        <w:rPr>
          <w:rFonts w:eastAsia="Times New Roman" w:cstheme="minorHAnsi"/>
        </w:rPr>
        <w:t xml:space="preserve"> The project will use Report-based disbursement procedures.  This procedure is very flexible and allows the project to move away from time-consuming transaction-based method to quarterly advances to the DA on IFRs. The initial advance to the DA will be made based on a 6-month cash flow forecast. Withdrawal Applications (WAs) will be completed by ZEMA to request replenishment of DA on a quarterly basis using IFRs. The replenishment amount will be based on a 6-month forecast of expenditure </w:t>
      </w:r>
      <w:proofErr w:type="gramStart"/>
      <w:r w:rsidRPr="001E661C">
        <w:rPr>
          <w:rFonts w:eastAsia="Times New Roman" w:cstheme="minorHAnsi"/>
        </w:rPr>
        <w:t>less</w:t>
      </w:r>
      <w:proofErr w:type="gramEnd"/>
      <w:r w:rsidRPr="001E661C">
        <w:rPr>
          <w:rFonts w:eastAsia="Times New Roman" w:cstheme="minorHAnsi"/>
        </w:rPr>
        <w:t xml:space="preserve"> actual cash at hand. The following will be the documentation to accompany the IFRs justifying expenditures for subsequent disbursements to the DA: (i) DA activity statement supported by copy/copies of bank statements; (ii) Summary statement of expenditure for contracts above the prior review threshold; (iii) Summary statement of expenditure for contracts below the prior review threshold. Other disbursement methods will include Direct Payments; Reimbursement and Special Commitments. Details of withdrawal conditions and requirements will be advised in the Disbursement Letter.</w:t>
      </w:r>
    </w:p>
    <w:p w14:paraId="2FDB9DBF" w14:textId="77777777" w:rsidR="00D70D43" w:rsidRDefault="00D70D43" w:rsidP="00D70D43">
      <w:pPr>
        <w:spacing w:before="120"/>
        <w:ind w:left="3" w:right="-432"/>
        <w:contextualSpacing/>
        <w:mirrorIndents/>
        <w:jc w:val="both"/>
        <w:rPr>
          <w:rFonts w:eastAsia="Times New Roman" w:cstheme="minorHAnsi"/>
        </w:rPr>
      </w:pPr>
    </w:p>
    <w:p w14:paraId="173F7438" w14:textId="77777777" w:rsidR="00D70D43" w:rsidRDefault="00D70D43" w:rsidP="002E38A2">
      <w:pPr>
        <w:numPr>
          <w:ilvl w:val="0"/>
          <w:numId w:val="20"/>
        </w:numPr>
        <w:spacing w:before="120"/>
        <w:ind w:right="-432"/>
        <w:contextualSpacing/>
        <w:mirrorIndents/>
        <w:jc w:val="both"/>
        <w:rPr>
          <w:rFonts w:eastAsia="Times New Roman" w:cstheme="minorHAnsi"/>
        </w:rPr>
      </w:pPr>
      <w:r w:rsidRPr="00BD244F">
        <w:rPr>
          <w:rFonts w:eastAsia="Times New Roman" w:cstheme="minorHAnsi"/>
        </w:rPr>
        <w:t>ZEMA will also prepare the Project’s annual accounts/financial statements within three months after the end of the accounting year in accordance with accounting standards acceptable to the Bank. The financial statements will be required to be submitted to the Bank within six months after the end of the fiscal year.</w:t>
      </w:r>
    </w:p>
    <w:p w14:paraId="785A34EC" w14:textId="77777777" w:rsidR="00D70D43" w:rsidRPr="00BD244F" w:rsidRDefault="00D70D43" w:rsidP="00D70D43">
      <w:pPr>
        <w:rPr>
          <w:rFonts w:eastAsia="Times New Roman" w:cstheme="minorHAnsi"/>
          <w:i/>
        </w:rPr>
      </w:pPr>
    </w:p>
    <w:p w14:paraId="37AD44DC" w14:textId="77777777" w:rsidR="00D70D43" w:rsidRDefault="00D70D43" w:rsidP="002E38A2">
      <w:pPr>
        <w:numPr>
          <w:ilvl w:val="0"/>
          <w:numId w:val="20"/>
        </w:numPr>
        <w:spacing w:before="120"/>
        <w:ind w:right="-432"/>
        <w:contextualSpacing/>
        <w:mirrorIndents/>
        <w:jc w:val="both"/>
        <w:rPr>
          <w:rFonts w:eastAsia="Times New Roman" w:cstheme="minorHAnsi"/>
        </w:rPr>
      </w:pPr>
      <w:r w:rsidRPr="00BD244F">
        <w:rPr>
          <w:rFonts w:eastAsia="Times New Roman" w:cstheme="minorHAnsi"/>
          <w:i/>
        </w:rPr>
        <w:lastRenderedPageBreak/>
        <w:t xml:space="preserve">External Audit Arrangements: </w:t>
      </w:r>
      <w:r w:rsidRPr="00BD244F">
        <w:rPr>
          <w:rFonts w:eastAsia="Times New Roman" w:cstheme="minorHAnsi"/>
        </w:rPr>
        <w:t xml:space="preserve">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   </w:t>
      </w:r>
    </w:p>
    <w:p w14:paraId="0D3780F8" w14:textId="77777777" w:rsidR="00D70D43" w:rsidRPr="0017337D" w:rsidRDefault="00D70D43" w:rsidP="00D70D43">
      <w:pPr>
        <w:rPr>
          <w:rFonts w:eastAsia="Times New Roman" w:cstheme="minorHAnsi"/>
          <w:b/>
          <w:i/>
        </w:rPr>
      </w:pPr>
    </w:p>
    <w:p w14:paraId="255B63CA" w14:textId="77777777" w:rsidR="00D70D43" w:rsidRPr="0017337D" w:rsidRDefault="00D70D43" w:rsidP="00D70D43">
      <w:pPr>
        <w:spacing w:before="120"/>
        <w:ind w:left="3" w:right="-432"/>
        <w:contextualSpacing/>
        <w:mirrorIndents/>
        <w:jc w:val="both"/>
        <w:rPr>
          <w:rFonts w:eastAsia="Times New Roman" w:cstheme="minorHAnsi"/>
        </w:rPr>
      </w:pPr>
      <w:r w:rsidRPr="0017337D">
        <w:rPr>
          <w:rFonts w:eastAsia="Times New Roman" w:cstheme="minorHAnsi"/>
          <w:b/>
          <w:i/>
        </w:rPr>
        <w:t xml:space="preserve">Table #. </w:t>
      </w:r>
      <w:r w:rsidRPr="0017337D">
        <w:rPr>
          <w:rFonts w:eastAsia="Times New Roman" w:cstheme="minorHAnsi"/>
          <w:i/>
        </w:rPr>
        <w:t>Financial Management Action Plan</w:t>
      </w:r>
    </w:p>
    <w:tbl>
      <w:tblPr>
        <w:tblW w:w="97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5040"/>
        <w:gridCol w:w="1704"/>
        <w:gridCol w:w="2256"/>
      </w:tblGrid>
      <w:tr w:rsidR="00D70D43" w:rsidRPr="00880538" w14:paraId="300C7E8E" w14:textId="77777777" w:rsidTr="007463F5">
        <w:trPr>
          <w:tblHeader/>
        </w:trPr>
        <w:tc>
          <w:tcPr>
            <w:tcW w:w="720" w:type="dxa"/>
            <w:tcBorders>
              <w:top w:val="single" w:sz="4" w:space="0" w:color="auto"/>
              <w:left w:val="single" w:sz="4" w:space="0" w:color="auto"/>
              <w:bottom w:val="single" w:sz="4" w:space="0" w:color="auto"/>
              <w:right w:val="single" w:sz="4" w:space="0" w:color="auto"/>
            </w:tcBorders>
            <w:shd w:val="clear" w:color="auto" w:fill="E7E6E6"/>
            <w:hideMark/>
          </w:tcPr>
          <w:p w14:paraId="3E1010FA" w14:textId="77777777" w:rsidR="00D70D43" w:rsidRPr="00880538" w:rsidRDefault="00D70D43" w:rsidP="007463F5">
            <w:pPr>
              <w:spacing w:line="256" w:lineRule="auto"/>
              <w:ind w:left="72"/>
              <w:contextualSpacing/>
              <w:rPr>
                <w:rFonts w:eastAsia="Times New Roman" w:cstheme="minorHAnsi"/>
                <w:b/>
                <w:iCs/>
              </w:rPr>
            </w:pPr>
            <w:r w:rsidRPr="00880538">
              <w:rPr>
                <w:rFonts w:eastAsia="Times New Roman" w:cstheme="minorHAnsi"/>
                <w:b/>
                <w:iCs/>
              </w:rPr>
              <w:t>S/N</w:t>
            </w:r>
          </w:p>
        </w:tc>
        <w:tc>
          <w:tcPr>
            <w:tcW w:w="5040" w:type="dxa"/>
            <w:tcBorders>
              <w:top w:val="single" w:sz="4" w:space="0" w:color="auto"/>
              <w:left w:val="single" w:sz="4" w:space="0" w:color="auto"/>
              <w:bottom w:val="single" w:sz="4" w:space="0" w:color="auto"/>
              <w:right w:val="single" w:sz="4" w:space="0" w:color="auto"/>
            </w:tcBorders>
            <w:shd w:val="clear" w:color="auto" w:fill="E7E6E6"/>
            <w:hideMark/>
          </w:tcPr>
          <w:p w14:paraId="0968236F" w14:textId="77777777" w:rsidR="00D70D43" w:rsidRPr="00880538" w:rsidRDefault="00D70D43" w:rsidP="007463F5">
            <w:pPr>
              <w:spacing w:line="256" w:lineRule="auto"/>
              <w:ind w:left="72"/>
              <w:contextualSpacing/>
              <w:rPr>
                <w:rFonts w:eastAsia="Times New Roman" w:cstheme="minorHAnsi"/>
                <w:b/>
                <w:iCs/>
              </w:rPr>
            </w:pPr>
            <w:r w:rsidRPr="00880538">
              <w:rPr>
                <w:rFonts w:eastAsia="Times New Roman" w:cstheme="minorHAnsi"/>
                <w:b/>
                <w:iCs/>
              </w:rPr>
              <w:t>Action</w:t>
            </w:r>
          </w:p>
        </w:tc>
        <w:tc>
          <w:tcPr>
            <w:tcW w:w="1704" w:type="dxa"/>
            <w:tcBorders>
              <w:top w:val="single" w:sz="4" w:space="0" w:color="auto"/>
              <w:left w:val="single" w:sz="4" w:space="0" w:color="auto"/>
              <w:bottom w:val="single" w:sz="4" w:space="0" w:color="auto"/>
              <w:right w:val="single" w:sz="4" w:space="0" w:color="auto"/>
            </w:tcBorders>
            <w:shd w:val="clear" w:color="auto" w:fill="E7E6E6"/>
            <w:hideMark/>
          </w:tcPr>
          <w:p w14:paraId="7B242047" w14:textId="77777777" w:rsidR="00D70D43" w:rsidRPr="00880538" w:rsidRDefault="00D70D43" w:rsidP="007463F5">
            <w:pPr>
              <w:spacing w:line="256" w:lineRule="auto"/>
              <w:ind w:left="20"/>
              <w:contextualSpacing/>
              <w:rPr>
                <w:rFonts w:eastAsia="Times New Roman" w:cstheme="minorHAnsi"/>
                <w:b/>
              </w:rPr>
            </w:pPr>
            <w:r w:rsidRPr="00880538">
              <w:rPr>
                <w:rFonts w:eastAsia="Times New Roman" w:cstheme="minorHAnsi"/>
                <w:b/>
              </w:rPr>
              <w:t>Responsibility</w:t>
            </w:r>
          </w:p>
        </w:tc>
        <w:tc>
          <w:tcPr>
            <w:tcW w:w="2256" w:type="dxa"/>
            <w:tcBorders>
              <w:top w:val="single" w:sz="4" w:space="0" w:color="auto"/>
              <w:left w:val="single" w:sz="4" w:space="0" w:color="auto"/>
              <w:bottom w:val="single" w:sz="4" w:space="0" w:color="auto"/>
              <w:right w:val="single" w:sz="4" w:space="0" w:color="auto"/>
            </w:tcBorders>
            <w:shd w:val="clear" w:color="auto" w:fill="E7E6E6"/>
            <w:hideMark/>
          </w:tcPr>
          <w:p w14:paraId="33F74485" w14:textId="77777777" w:rsidR="00D70D43" w:rsidRPr="00880538" w:rsidRDefault="00D70D43" w:rsidP="007463F5">
            <w:pPr>
              <w:spacing w:line="256" w:lineRule="auto"/>
              <w:rPr>
                <w:rFonts w:eastAsia="Times New Roman" w:cstheme="minorHAnsi"/>
                <w:b/>
                <w:iCs/>
              </w:rPr>
            </w:pPr>
            <w:r w:rsidRPr="00880538">
              <w:rPr>
                <w:rFonts w:eastAsia="Times New Roman" w:cstheme="minorHAnsi"/>
                <w:b/>
                <w:iCs/>
              </w:rPr>
              <w:t>Due Date</w:t>
            </w:r>
          </w:p>
        </w:tc>
      </w:tr>
      <w:tr w:rsidR="00D70D43" w:rsidRPr="00880538" w14:paraId="1C10A30B" w14:textId="77777777" w:rsidTr="007463F5">
        <w:tc>
          <w:tcPr>
            <w:tcW w:w="720" w:type="dxa"/>
            <w:tcBorders>
              <w:top w:val="single" w:sz="4" w:space="0" w:color="auto"/>
              <w:left w:val="single" w:sz="4" w:space="0" w:color="auto"/>
              <w:bottom w:val="single" w:sz="4" w:space="0" w:color="auto"/>
              <w:right w:val="single" w:sz="4" w:space="0" w:color="auto"/>
            </w:tcBorders>
            <w:hideMark/>
          </w:tcPr>
          <w:p w14:paraId="6A5FD810"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iCs/>
              </w:rPr>
              <w:t>1.</w:t>
            </w:r>
          </w:p>
        </w:tc>
        <w:tc>
          <w:tcPr>
            <w:tcW w:w="5040" w:type="dxa"/>
            <w:tcBorders>
              <w:top w:val="single" w:sz="4" w:space="0" w:color="auto"/>
              <w:left w:val="single" w:sz="4" w:space="0" w:color="auto"/>
              <w:bottom w:val="single" w:sz="4" w:space="0" w:color="auto"/>
              <w:right w:val="single" w:sz="4" w:space="0" w:color="auto"/>
            </w:tcBorders>
            <w:hideMark/>
          </w:tcPr>
          <w:p w14:paraId="79F0CCC7"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rPr>
              <w:t>Prepare a Project Implementation Manual, including FM arrangements, that is acceptable to the Bank.</w:t>
            </w:r>
          </w:p>
        </w:tc>
        <w:tc>
          <w:tcPr>
            <w:tcW w:w="1704" w:type="dxa"/>
            <w:tcBorders>
              <w:top w:val="single" w:sz="4" w:space="0" w:color="auto"/>
              <w:left w:val="single" w:sz="4" w:space="0" w:color="auto"/>
              <w:bottom w:val="single" w:sz="4" w:space="0" w:color="auto"/>
              <w:right w:val="single" w:sz="4" w:space="0" w:color="auto"/>
            </w:tcBorders>
            <w:hideMark/>
          </w:tcPr>
          <w:p w14:paraId="25ECEEDF" w14:textId="77777777" w:rsidR="00D70D43" w:rsidRPr="00880538" w:rsidRDefault="00D70D43" w:rsidP="007463F5">
            <w:pPr>
              <w:spacing w:line="256" w:lineRule="auto"/>
              <w:ind w:left="20"/>
              <w:contextualSpacing/>
              <w:rPr>
                <w:rFonts w:eastAsia="Times New Roman" w:cstheme="minorHAnsi"/>
              </w:rPr>
            </w:pPr>
            <w:r w:rsidRPr="00880538">
              <w:rPr>
                <w:rFonts w:eastAsia="Times New Roman" w:cstheme="minorHAnsi"/>
              </w:rPr>
              <w:t>ZEMA</w:t>
            </w:r>
          </w:p>
        </w:tc>
        <w:tc>
          <w:tcPr>
            <w:tcW w:w="2256" w:type="dxa"/>
            <w:tcBorders>
              <w:top w:val="single" w:sz="4" w:space="0" w:color="auto"/>
              <w:left w:val="single" w:sz="4" w:space="0" w:color="auto"/>
              <w:bottom w:val="single" w:sz="4" w:space="0" w:color="auto"/>
              <w:right w:val="single" w:sz="4" w:space="0" w:color="auto"/>
            </w:tcBorders>
            <w:hideMark/>
          </w:tcPr>
          <w:p w14:paraId="0D94AF2A" w14:textId="77777777" w:rsidR="00D70D43" w:rsidRPr="00880538" w:rsidRDefault="00D70D43" w:rsidP="007463F5">
            <w:pPr>
              <w:spacing w:line="256" w:lineRule="auto"/>
              <w:rPr>
                <w:rFonts w:eastAsia="Times New Roman" w:cstheme="minorHAnsi"/>
                <w:iCs/>
              </w:rPr>
            </w:pPr>
            <w:r w:rsidRPr="00880538">
              <w:rPr>
                <w:rFonts w:eastAsia="Times New Roman" w:cstheme="minorHAnsi"/>
                <w:iCs/>
              </w:rPr>
              <w:t>By Effectiveness</w:t>
            </w:r>
          </w:p>
        </w:tc>
      </w:tr>
      <w:tr w:rsidR="00D70D43" w:rsidRPr="00880538" w14:paraId="21C76672" w14:textId="77777777" w:rsidTr="007463F5">
        <w:tc>
          <w:tcPr>
            <w:tcW w:w="720" w:type="dxa"/>
            <w:tcBorders>
              <w:top w:val="single" w:sz="4" w:space="0" w:color="auto"/>
              <w:left w:val="single" w:sz="4" w:space="0" w:color="auto"/>
              <w:bottom w:val="single" w:sz="4" w:space="0" w:color="auto"/>
              <w:right w:val="single" w:sz="4" w:space="0" w:color="auto"/>
            </w:tcBorders>
            <w:hideMark/>
          </w:tcPr>
          <w:p w14:paraId="454BAD18"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iCs/>
              </w:rPr>
              <w:t>2.</w:t>
            </w:r>
          </w:p>
        </w:tc>
        <w:tc>
          <w:tcPr>
            <w:tcW w:w="5040" w:type="dxa"/>
            <w:tcBorders>
              <w:top w:val="single" w:sz="4" w:space="0" w:color="auto"/>
              <w:left w:val="single" w:sz="4" w:space="0" w:color="auto"/>
              <w:bottom w:val="single" w:sz="4" w:space="0" w:color="auto"/>
              <w:right w:val="single" w:sz="4" w:space="0" w:color="auto"/>
            </w:tcBorders>
            <w:hideMark/>
          </w:tcPr>
          <w:p w14:paraId="033C523B" w14:textId="77777777" w:rsidR="00D70D43" w:rsidRPr="00880538" w:rsidRDefault="00D70D43" w:rsidP="007463F5">
            <w:pPr>
              <w:spacing w:line="256" w:lineRule="auto"/>
              <w:ind w:left="72"/>
              <w:contextualSpacing/>
              <w:rPr>
                <w:rFonts w:eastAsia="Times New Roman" w:cstheme="minorHAnsi"/>
                <w:iCs/>
              </w:rPr>
            </w:pPr>
            <w:r w:rsidRPr="00880538">
              <w:rPr>
                <w:rFonts w:eastAsia="Calibri" w:cstheme="minorHAnsi"/>
              </w:rPr>
              <w:t>Recruit a qualified and experienced Project Accountant for the project</w:t>
            </w:r>
          </w:p>
        </w:tc>
        <w:tc>
          <w:tcPr>
            <w:tcW w:w="1704" w:type="dxa"/>
            <w:tcBorders>
              <w:top w:val="single" w:sz="4" w:space="0" w:color="auto"/>
              <w:left w:val="single" w:sz="4" w:space="0" w:color="auto"/>
              <w:bottom w:val="single" w:sz="4" w:space="0" w:color="auto"/>
              <w:right w:val="single" w:sz="4" w:space="0" w:color="auto"/>
            </w:tcBorders>
            <w:hideMark/>
          </w:tcPr>
          <w:p w14:paraId="3C2B531D" w14:textId="77777777" w:rsidR="00D70D43" w:rsidRPr="00880538" w:rsidRDefault="00D70D43" w:rsidP="007463F5">
            <w:pPr>
              <w:spacing w:line="256" w:lineRule="auto"/>
              <w:ind w:left="20"/>
              <w:contextualSpacing/>
              <w:rPr>
                <w:rFonts w:eastAsia="Times New Roman" w:cstheme="minorHAnsi"/>
              </w:rPr>
            </w:pPr>
            <w:r w:rsidRPr="00880538">
              <w:rPr>
                <w:rFonts w:eastAsia="Calibri" w:cstheme="minorHAnsi"/>
              </w:rPr>
              <w:t>ZEMA</w:t>
            </w:r>
          </w:p>
        </w:tc>
        <w:tc>
          <w:tcPr>
            <w:tcW w:w="2256" w:type="dxa"/>
            <w:tcBorders>
              <w:top w:val="single" w:sz="4" w:space="0" w:color="auto"/>
              <w:left w:val="single" w:sz="4" w:space="0" w:color="auto"/>
              <w:bottom w:val="single" w:sz="4" w:space="0" w:color="auto"/>
              <w:right w:val="single" w:sz="4" w:space="0" w:color="auto"/>
            </w:tcBorders>
            <w:hideMark/>
          </w:tcPr>
          <w:p w14:paraId="6520436C" w14:textId="77777777" w:rsidR="00D70D43" w:rsidRPr="00880538" w:rsidRDefault="00D70D43" w:rsidP="007463F5">
            <w:pPr>
              <w:spacing w:line="256" w:lineRule="auto"/>
              <w:rPr>
                <w:rFonts w:eastAsia="Times New Roman" w:cstheme="minorHAnsi"/>
                <w:iCs/>
              </w:rPr>
            </w:pPr>
            <w:r w:rsidRPr="00880538">
              <w:rPr>
                <w:rFonts w:eastAsia="Calibri" w:cstheme="minorHAnsi"/>
              </w:rPr>
              <w:t>By Effectiveness</w:t>
            </w:r>
          </w:p>
        </w:tc>
      </w:tr>
      <w:tr w:rsidR="00D70D43" w:rsidRPr="00880538" w14:paraId="13E8E593" w14:textId="77777777" w:rsidTr="007463F5">
        <w:tc>
          <w:tcPr>
            <w:tcW w:w="720" w:type="dxa"/>
            <w:tcBorders>
              <w:top w:val="single" w:sz="4" w:space="0" w:color="auto"/>
              <w:left w:val="single" w:sz="4" w:space="0" w:color="auto"/>
              <w:bottom w:val="single" w:sz="4" w:space="0" w:color="auto"/>
              <w:right w:val="single" w:sz="4" w:space="0" w:color="auto"/>
            </w:tcBorders>
            <w:hideMark/>
          </w:tcPr>
          <w:p w14:paraId="79B1DF94" w14:textId="77777777" w:rsidR="00D70D43" w:rsidRPr="00880538" w:rsidRDefault="00D70D43" w:rsidP="007463F5">
            <w:pPr>
              <w:spacing w:line="256" w:lineRule="auto"/>
              <w:ind w:left="72"/>
              <w:contextualSpacing/>
              <w:rPr>
                <w:rFonts w:eastAsia="Times New Roman" w:cstheme="minorHAnsi"/>
                <w:iCs/>
              </w:rPr>
            </w:pPr>
            <w:r w:rsidRPr="00880538">
              <w:rPr>
                <w:rFonts w:eastAsia="Times New Roman" w:cstheme="minorHAnsi"/>
                <w:iCs/>
              </w:rPr>
              <w:t>3.</w:t>
            </w:r>
          </w:p>
        </w:tc>
        <w:tc>
          <w:tcPr>
            <w:tcW w:w="5040" w:type="dxa"/>
            <w:tcBorders>
              <w:top w:val="single" w:sz="4" w:space="0" w:color="auto"/>
              <w:left w:val="single" w:sz="4" w:space="0" w:color="auto"/>
              <w:bottom w:val="single" w:sz="4" w:space="0" w:color="auto"/>
              <w:right w:val="single" w:sz="4" w:space="0" w:color="auto"/>
            </w:tcBorders>
            <w:hideMark/>
          </w:tcPr>
          <w:p w14:paraId="37DB2B80" w14:textId="77777777" w:rsidR="00D70D43" w:rsidRPr="00880538" w:rsidRDefault="00D70D43" w:rsidP="007463F5">
            <w:pPr>
              <w:spacing w:line="256" w:lineRule="auto"/>
              <w:ind w:left="72"/>
              <w:contextualSpacing/>
              <w:rPr>
                <w:rFonts w:eastAsia="Times New Roman" w:cstheme="minorHAnsi"/>
                <w:iCs/>
              </w:rPr>
            </w:pPr>
            <w:r w:rsidRPr="00880538">
              <w:rPr>
                <w:rFonts w:eastAsia="Calibri" w:cstheme="minorHAnsi"/>
              </w:rPr>
              <w:t>Train accounting and internal audit staff in Bank’s financial management and disbursement guidelines</w:t>
            </w:r>
          </w:p>
        </w:tc>
        <w:tc>
          <w:tcPr>
            <w:tcW w:w="1704" w:type="dxa"/>
            <w:tcBorders>
              <w:top w:val="single" w:sz="4" w:space="0" w:color="auto"/>
              <w:left w:val="single" w:sz="4" w:space="0" w:color="auto"/>
              <w:bottom w:val="single" w:sz="4" w:space="0" w:color="auto"/>
              <w:right w:val="single" w:sz="4" w:space="0" w:color="auto"/>
            </w:tcBorders>
            <w:hideMark/>
          </w:tcPr>
          <w:p w14:paraId="6E20955B" w14:textId="77777777" w:rsidR="00D70D43" w:rsidRPr="00880538" w:rsidRDefault="00D70D43" w:rsidP="007463F5">
            <w:pPr>
              <w:spacing w:line="256" w:lineRule="auto"/>
              <w:ind w:left="20"/>
              <w:contextualSpacing/>
              <w:rPr>
                <w:rFonts w:eastAsia="Times New Roman" w:cstheme="minorHAnsi"/>
              </w:rPr>
            </w:pPr>
            <w:r w:rsidRPr="00880538">
              <w:rPr>
                <w:rFonts w:eastAsia="Calibri" w:cstheme="minorHAnsi"/>
              </w:rPr>
              <w:t>IDA</w:t>
            </w:r>
          </w:p>
        </w:tc>
        <w:tc>
          <w:tcPr>
            <w:tcW w:w="2256" w:type="dxa"/>
            <w:tcBorders>
              <w:top w:val="single" w:sz="4" w:space="0" w:color="auto"/>
              <w:left w:val="single" w:sz="4" w:space="0" w:color="auto"/>
              <w:bottom w:val="single" w:sz="4" w:space="0" w:color="auto"/>
              <w:right w:val="single" w:sz="4" w:space="0" w:color="auto"/>
            </w:tcBorders>
            <w:hideMark/>
          </w:tcPr>
          <w:p w14:paraId="730EA550" w14:textId="77777777" w:rsidR="00D70D43" w:rsidRPr="00880538" w:rsidRDefault="00D70D43" w:rsidP="007463F5">
            <w:pPr>
              <w:spacing w:line="256" w:lineRule="auto"/>
              <w:rPr>
                <w:rFonts w:eastAsia="Times New Roman" w:cstheme="minorHAnsi"/>
                <w:iCs/>
              </w:rPr>
            </w:pPr>
            <w:r w:rsidRPr="00880538">
              <w:rPr>
                <w:rFonts w:eastAsia="Calibri" w:cstheme="minorHAnsi"/>
              </w:rPr>
              <w:t>Continuously</w:t>
            </w:r>
          </w:p>
        </w:tc>
      </w:tr>
    </w:tbl>
    <w:p w14:paraId="68BC0773" w14:textId="77777777" w:rsidR="00D70D43" w:rsidRDefault="00D70D43" w:rsidP="00D70D43">
      <w:pPr>
        <w:tabs>
          <w:tab w:val="left" w:pos="0"/>
        </w:tabs>
        <w:ind w:right="-432"/>
        <w:mirrorIndents/>
        <w:jc w:val="both"/>
        <w:rPr>
          <w:rFonts w:eastAsia="Calibri" w:cstheme="minorHAnsi"/>
        </w:rPr>
      </w:pPr>
    </w:p>
    <w:p w14:paraId="1076B8D2" w14:textId="77777777" w:rsidR="00D70D43" w:rsidRDefault="00D70D43" w:rsidP="002E38A2">
      <w:pPr>
        <w:numPr>
          <w:ilvl w:val="0"/>
          <w:numId w:val="20"/>
        </w:numPr>
        <w:spacing w:before="120"/>
        <w:ind w:right="-432"/>
        <w:contextualSpacing/>
        <w:mirrorIndents/>
        <w:jc w:val="both"/>
        <w:rPr>
          <w:rFonts w:eastAsia="Times New Roman" w:cstheme="minorHAnsi"/>
        </w:rPr>
      </w:pPr>
      <w:r w:rsidRPr="00BD244F">
        <w:rPr>
          <w:rFonts w:eastAsia="Times New Roman" w:cstheme="minorHAnsi"/>
          <w:i/>
        </w:rPr>
        <w:t xml:space="preserve">External Audit Arrangements: </w:t>
      </w:r>
      <w:r w:rsidRPr="00BD244F">
        <w:rPr>
          <w:rFonts w:eastAsia="Times New Roman" w:cstheme="minorHAnsi"/>
        </w:rPr>
        <w:t>The external audit of the Project’s funds will be done by the Office of the Auditor General (OAG), the Supreme Audit Institution in Zambia. The OAG can contract private audit firms acceptable to the Bank to conduct the audit of the project on its behalf. The cost of hiring a private audit firm will be met by the Project. The audit should be carried out in accordance with International Standards on Auditing or International Standards for Supreme Audit Institutions issued by the International Organization for Supreme Audit Institutions. The Terms of Reference (TORs) for the audit will be agreed with the Bank before negotiations. The external auditors should be appointed within six months after effectiveness. Audit reports together with management letters should be submitted to the World Bank within six months after the end of the government’s fiscal year. Audit reports will be publicly disclosed by the World Bank Group in accordance with the Bank’s disclosure policy.</w:t>
      </w:r>
    </w:p>
    <w:p w14:paraId="359D154D" w14:textId="77777777" w:rsidR="00D70D43" w:rsidRPr="00005A4A" w:rsidRDefault="00D70D43" w:rsidP="00D70D43">
      <w:pPr>
        <w:spacing w:before="120"/>
        <w:ind w:left="3" w:right="-432"/>
        <w:contextualSpacing/>
        <w:mirrorIndents/>
        <w:jc w:val="both"/>
        <w:rPr>
          <w:rFonts w:eastAsia="Times New Roman" w:cstheme="minorHAnsi"/>
        </w:rPr>
      </w:pPr>
    </w:p>
    <w:p w14:paraId="6646E99C" w14:textId="77777777" w:rsidR="00D70D43" w:rsidRPr="00005A4A" w:rsidRDefault="00D70D43" w:rsidP="002E38A2">
      <w:pPr>
        <w:numPr>
          <w:ilvl w:val="0"/>
          <w:numId w:val="20"/>
        </w:numPr>
        <w:spacing w:before="120"/>
        <w:ind w:right="-432"/>
        <w:contextualSpacing/>
        <w:mirrorIndents/>
        <w:jc w:val="both"/>
        <w:rPr>
          <w:rFonts w:eastAsia="Times New Roman" w:cstheme="minorHAnsi"/>
        </w:rPr>
      </w:pPr>
      <w:r w:rsidRPr="00005A4A">
        <w:rPr>
          <w:rFonts w:eastAsia="Times New Roman" w:cstheme="minorHAnsi"/>
          <w:b/>
        </w:rPr>
        <w:t xml:space="preserve">Implementation Support Plan: </w:t>
      </w:r>
      <w:r w:rsidRPr="00005A4A">
        <w:rPr>
          <w:rFonts w:eastAsia="Times New Roman" w:cstheme="minorHAnsi"/>
        </w:rPr>
        <w:t xml:space="preserve">Financial Management implementation support missions will be carried out twice a year based on the moderate FM residual risk rating. Implementation Support will also include desk reviews such as the review of the IFRs and audit reports. In-depth reviews and forensic reviews may be done where deemed necessary. The FM implementation support will be an integrated part of the Project’s implementation reviews. </w:t>
      </w:r>
    </w:p>
    <w:p w14:paraId="497D002E" w14:textId="77777777" w:rsidR="00D70D43" w:rsidRPr="00880538" w:rsidRDefault="00D70D43" w:rsidP="00D70D43">
      <w:pPr>
        <w:rPr>
          <w:rFonts w:cstheme="minorHAnsi"/>
        </w:rPr>
      </w:pPr>
    </w:p>
    <w:p w14:paraId="5B7CBDE0" w14:textId="77777777" w:rsidR="00D70D43" w:rsidRDefault="00D70D43" w:rsidP="00D70D43">
      <w:pPr>
        <w:rPr>
          <w:rFonts w:cstheme="minorHAnsi"/>
          <w:bCs/>
        </w:rPr>
      </w:pPr>
      <w:r>
        <w:rPr>
          <w:rFonts w:cstheme="minorHAnsi"/>
          <w:bCs/>
        </w:rPr>
        <w:br w:type="page"/>
      </w:r>
    </w:p>
    <w:p w14:paraId="5B8D1A0F" w14:textId="16EB4495" w:rsidR="00D70D43" w:rsidRPr="00554AB1" w:rsidRDefault="00D70D43" w:rsidP="00D70D43">
      <w:pPr>
        <w:keepNext/>
        <w:ind w:left="-432" w:right="-432"/>
        <w:jc w:val="center"/>
        <w:rPr>
          <w:rFonts w:eastAsia="Calibri" w:cstheme="minorHAnsi"/>
          <w:b/>
          <w:i/>
        </w:rPr>
      </w:pPr>
      <w:r w:rsidRPr="00554AB1">
        <w:rPr>
          <w:rFonts w:eastAsia="Calibri" w:cstheme="minorHAnsi"/>
          <w:b/>
          <w:i/>
        </w:rPr>
        <w:lastRenderedPageBreak/>
        <w:t xml:space="preserve">ANNEX </w:t>
      </w:r>
      <w:r w:rsidR="00093C13">
        <w:rPr>
          <w:rFonts w:eastAsia="Calibri" w:cstheme="minorHAnsi"/>
          <w:b/>
          <w:i/>
        </w:rPr>
        <w:t>1</w:t>
      </w:r>
      <w:r w:rsidRPr="00554AB1">
        <w:rPr>
          <w:rFonts w:eastAsia="Calibri" w:cstheme="minorHAnsi"/>
          <w:b/>
          <w:i/>
        </w:rPr>
        <w:t xml:space="preserve"> D:  PROJECT DESCRIPTION FOR KENYA (GEF ID: 9853)</w:t>
      </w:r>
    </w:p>
    <w:p w14:paraId="45C594D6" w14:textId="77777777" w:rsidR="00093C13" w:rsidRDefault="00D70D43" w:rsidP="00D70D43">
      <w:pPr>
        <w:keepNext/>
        <w:ind w:left="-432" w:right="-432"/>
        <w:jc w:val="center"/>
        <w:rPr>
          <w:rFonts w:eastAsia="Calibri" w:cstheme="minorHAnsi"/>
          <w:b/>
        </w:rPr>
      </w:pPr>
      <w:r w:rsidRPr="00554AB1">
        <w:rPr>
          <w:rFonts w:eastAsia="Calibri" w:cstheme="minorHAnsi"/>
          <w:b/>
        </w:rPr>
        <w:t xml:space="preserve">PROPOSED GLOBAL ENVIRONMENT FACILITY GRANTS </w:t>
      </w:r>
    </w:p>
    <w:p w14:paraId="21034A88" w14:textId="4E30EB74" w:rsidR="00D70D43" w:rsidRPr="00554AB1" w:rsidRDefault="00D70D43" w:rsidP="00D70D43">
      <w:pPr>
        <w:keepNext/>
        <w:ind w:left="-432" w:right="-432"/>
        <w:jc w:val="center"/>
        <w:rPr>
          <w:rFonts w:eastAsia="Calibri" w:cstheme="minorHAnsi"/>
          <w:b/>
        </w:rPr>
      </w:pPr>
      <w:r w:rsidRPr="00554AB1">
        <w:rPr>
          <w:rFonts w:eastAsia="Calibri" w:cstheme="minorHAnsi"/>
          <w:b/>
        </w:rPr>
        <w:t xml:space="preserve">TO THE REPUBLIC OF KENYA </w:t>
      </w:r>
    </w:p>
    <w:p w14:paraId="164F087E" w14:textId="77777777" w:rsidR="00D70D43" w:rsidRPr="00554AB1" w:rsidRDefault="00D70D43" w:rsidP="00D70D43">
      <w:pPr>
        <w:keepNext/>
        <w:ind w:left="-432" w:right="-432"/>
        <w:jc w:val="center"/>
        <w:rPr>
          <w:rFonts w:eastAsia="Calibri" w:cstheme="minorHAnsi"/>
          <w:b/>
          <w:i/>
        </w:rPr>
      </w:pPr>
      <w:r w:rsidRPr="00554AB1">
        <w:rPr>
          <w:rFonts w:eastAsia="Calibri" w:cstheme="minorHAnsi"/>
          <w:b/>
        </w:rPr>
        <w:t>IN THE AMOUNT OF US$ 8,073,395</w:t>
      </w:r>
    </w:p>
    <w:p w14:paraId="71058F61" w14:textId="77777777" w:rsidR="00D70D43" w:rsidRPr="002E6C15" w:rsidRDefault="00D70D43" w:rsidP="00D70D43">
      <w:pPr>
        <w:keepNext/>
        <w:ind w:left="-432" w:right="-432"/>
        <w:jc w:val="both"/>
        <w:rPr>
          <w:rFonts w:ascii="Times New Roman" w:eastAsia="Calibri" w:hAnsi="Times New Roman" w:cs="Times New Roman"/>
          <w:b/>
        </w:rPr>
      </w:pPr>
    </w:p>
    <w:p w14:paraId="7D5A729F" w14:textId="77777777" w:rsidR="00D70D43" w:rsidRPr="00554AB1" w:rsidRDefault="00D70D43" w:rsidP="00D70D43">
      <w:pPr>
        <w:keepNext/>
        <w:ind w:left="-432" w:right="-432"/>
        <w:jc w:val="both"/>
        <w:rPr>
          <w:rFonts w:eastAsia="Calibri" w:cstheme="minorHAnsi"/>
          <w:b/>
        </w:rPr>
      </w:pPr>
      <w:r w:rsidRPr="00554AB1">
        <w:rPr>
          <w:rFonts w:eastAsia="Calibri" w:cstheme="minorHAnsi"/>
          <w:b/>
        </w:rPr>
        <w:t xml:space="preserve">STRATEGIC CONTEXT </w:t>
      </w:r>
    </w:p>
    <w:p w14:paraId="11EC3DAB" w14:textId="77777777" w:rsidR="00D70D43" w:rsidRPr="00554AB1" w:rsidRDefault="00D70D43" w:rsidP="00D70D43">
      <w:pPr>
        <w:keepNext/>
        <w:ind w:left="-432" w:right="-432"/>
        <w:jc w:val="both"/>
        <w:rPr>
          <w:rFonts w:eastAsia="Calibri" w:cstheme="minorHAnsi"/>
          <w:b/>
        </w:rPr>
      </w:pPr>
      <w:r w:rsidRPr="00554AB1">
        <w:rPr>
          <w:rFonts w:eastAsia="Calibri" w:cstheme="minorHAnsi"/>
          <w:b/>
        </w:rPr>
        <w:t>A – Country Context</w:t>
      </w:r>
    </w:p>
    <w:p w14:paraId="2F067EFF"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eastAsia="Times New Roman" w:cstheme="minorHAnsi"/>
          <w:bCs/>
        </w:rPr>
      </w:pPr>
      <w:r w:rsidRPr="00554AB1">
        <w:rPr>
          <w:rFonts w:cstheme="minorHAnsi"/>
          <w:b/>
          <w:bCs/>
        </w:rPr>
        <w:t>Africa’s economy is growing rapidly, however its industry is heavily dependent on imports of chemicals.</w:t>
      </w:r>
      <w:r w:rsidRPr="00554AB1">
        <w:rPr>
          <w:rFonts w:cstheme="minorHAnsi"/>
        </w:rPr>
        <w:t xml:space="preserve"> Africa’s economic growth is forecast to rise to 4.1 percent in 2019</w:t>
      </w:r>
      <w:r w:rsidRPr="00554AB1">
        <w:rPr>
          <w:rFonts w:cstheme="minorHAnsi"/>
          <w:vertAlign w:val="superscript"/>
        </w:rPr>
        <w:footnoteReference w:id="44"/>
      </w:r>
      <w:r w:rsidRPr="00554AB1">
        <w:rPr>
          <w:rFonts w:cstheme="minorHAnsi"/>
        </w:rPr>
        <w:t>. The industrial sector is progressively gaining ground and represents 4 to 32 percent of the national GDPs in most African countries</w:t>
      </w:r>
      <w:r w:rsidRPr="00554AB1">
        <w:rPr>
          <w:rFonts w:cstheme="minorHAnsi"/>
          <w:vertAlign w:val="superscript"/>
        </w:rPr>
        <w:footnoteReference w:id="45"/>
      </w:r>
      <w:r w:rsidRPr="00554AB1">
        <w:rPr>
          <w:rFonts w:cstheme="minorHAnsi"/>
        </w:rPr>
        <w:t xml:space="preserve">. </w:t>
      </w:r>
      <w:r w:rsidRPr="00554AB1">
        <w:rPr>
          <w:rFonts w:cstheme="minorHAnsi"/>
          <w:bCs/>
        </w:rPr>
        <w:t xml:space="preserve">But many countries import chemicals for industrial, domestic, and agricultural uses. As a result, the region has witnessed a significant increase in the trade of hazardous materials, with serious impacts on environment and health. </w:t>
      </w:r>
      <w:r w:rsidRPr="00554AB1">
        <w:rPr>
          <w:rFonts w:cstheme="minorHAnsi"/>
        </w:rPr>
        <w:t>Among the most critical pollution management issues in Sub-Saharan Africa are those related to management of electronic waste (e-waste).</w:t>
      </w:r>
    </w:p>
    <w:p w14:paraId="2742C71E" w14:textId="77777777" w:rsidR="00D70D43" w:rsidRPr="00554AB1" w:rsidRDefault="00D70D43" w:rsidP="00D70D43">
      <w:pPr>
        <w:pStyle w:val="ListParagraph"/>
        <w:ind w:left="3"/>
        <w:jc w:val="both"/>
        <w:rPr>
          <w:rFonts w:eastAsia="Times New Roman" w:cstheme="minorHAnsi"/>
          <w:bCs/>
        </w:rPr>
      </w:pPr>
    </w:p>
    <w:p w14:paraId="47DD9281"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The global generation of e-waste reached an estimated 50 million tons in 2018, with about 80 percent being shipped to developing countries in Asia and Africa</w:t>
      </w:r>
      <w:r w:rsidRPr="00554AB1">
        <w:rPr>
          <w:rFonts w:cstheme="minorHAnsi"/>
        </w:rPr>
        <w:t>.</w:t>
      </w:r>
      <w:r w:rsidRPr="00554AB1">
        <w:rPr>
          <w:rStyle w:val="FootnoteReference"/>
          <w:rFonts w:cstheme="minorHAnsi"/>
        </w:rPr>
        <w:footnoteReference w:id="46"/>
      </w:r>
      <w:r w:rsidRPr="00554AB1">
        <w:rPr>
          <w:rFonts w:cstheme="minorHAnsi"/>
        </w:rPr>
        <w:t xml:space="preserve"> </w:t>
      </w:r>
      <w:r w:rsidRPr="00554AB1">
        <w:rPr>
          <w:rFonts w:cstheme="minorHAnsi"/>
          <w:color w:val="000000" w:themeColor="text1"/>
        </w:rPr>
        <w:t>A study commissioned by the World Bank</w:t>
      </w:r>
      <w:r w:rsidRPr="00554AB1">
        <w:rPr>
          <w:rStyle w:val="FootnoteReference"/>
          <w:rFonts w:cstheme="minorHAnsi"/>
        </w:rPr>
        <w:footnoteReference w:id="47"/>
      </w:r>
      <w:r w:rsidRPr="00554AB1">
        <w:rPr>
          <w:rFonts w:cstheme="minorHAnsi"/>
          <w:color w:val="000000" w:themeColor="text1"/>
        </w:rPr>
        <w:t xml:space="preserve"> indicates that Ghana, Kenya, and Nigeria have the highest levels of e-waste in the region due to their growing involvement in Information and Communication Technologies (ICT) imports, recycling, and refurbishing. </w:t>
      </w:r>
      <w:r w:rsidRPr="00554AB1">
        <w:rPr>
          <w:rFonts w:cstheme="minorHAnsi"/>
          <w:bCs/>
        </w:rPr>
        <w:t>Improper recycling</w:t>
      </w:r>
      <w:r w:rsidRPr="00554AB1">
        <w:rPr>
          <w:rFonts w:cstheme="minorHAnsi"/>
        </w:rPr>
        <w:t xml:space="preserve"> and </w:t>
      </w:r>
      <w:r w:rsidRPr="00554AB1">
        <w:rPr>
          <w:rFonts w:cstheme="minorHAnsi"/>
          <w:bCs/>
        </w:rPr>
        <w:t>disposal of heavy metals associated with the burning of e-waste is particularly acute in Africa, where</w:t>
      </w:r>
      <w:r w:rsidRPr="00554AB1">
        <w:rPr>
          <w:rFonts w:cstheme="minorHAnsi"/>
        </w:rPr>
        <w:t xml:space="preserve"> environmental </w:t>
      </w:r>
      <w:r w:rsidRPr="00554AB1">
        <w:rPr>
          <w:rFonts w:cstheme="minorHAnsi"/>
          <w:bCs/>
        </w:rPr>
        <w:t>monitoring and regulatory enforcement are relatively weak. The mismanagement of chemicals, releases of unintentionally produced POPs (UPOPS)</w:t>
      </w:r>
      <w:r w:rsidRPr="00554AB1">
        <w:rPr>
          <w:rStyle w:val="FootnoteReference"/>
          <w:rFonts w:cstheme="minorHAnsi"/>
          <w:bCs/>
        </w:rPr>
        <w:footnoteReference w:id="48"/>
      </w:r>
      <w:r w:rsidRPr="00554AB1">
        <w:rPr>
          <w:rFonts w:cstheme="minorHAnsi"/>
          <w:bCs/>
        </w:rPr>
        <w:t xml:space="preserve"> from open-burning and other sources present serious threats to human health in many parts of Africa</w:t>
      </w:r>
      <w:r w:rsidRPr="00554AB1">
        <w:rPr>
          <w:rFonts w:cstheme="minorHAnsi"/>
        </w:rPr>
        <w:t xml:space="preserve">. </w:t>
      </w:r>
    </w:p>
    <w:p w14:paraId="1A4A3914" w14:textId="77777777" w:rsidR="00D70D43" w:rsidRPr="00554AB1" w:rsidRDefault="00D70D43" w:rsidP="00D70D43">
      <w:pPr>
        <w:pStyle w:val="ListParagraph"/>
        <w:jc w:val="both"/>
        <w:rPr>
          <w:rFonts w:cstheme="minorHAnsi"/>
          <w:b/>
        </w:rPr>
      </w:pPr>
    </w:p>
    <w:p w14:paraId="2C7C826B"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 xml:space="preserve">Kenya aspires to be fully industrialized by year 2030, </w:t>
      </w:r>
      <w:proofErr w:type="gramStart"/>
      <w:r w:rsidRPr="00554AB1">
        <w:rPr>
          <w:rFonts w:cstheme="minorHAnsi"/>
          <w:b/>
        </w:rPr>
        <w:t>opening up</w:t>
      </w:r>
      <w:proofErr w:type="gramEnd"/>
      <w:r w:rsidRPr="00554AB1">
        <w:rPr>
          <w:rFonts w:cstheme="minorHAnsi"/>
          <w:b/>
        </w:rPr>
        <w:t xml:space="preserve"> job opportunities and value addition to agricultural produce and natural mineral resources for export and local consumption.</w:t>
      </w:r>
      <w:r w:rsidRPr="00554AB1">
        <w:rPr>
          <w:rFonts w:cstheme="minorHAnsi"/>
        </w:rPr>
        <w:t xml:space="preserve"> This trend of development is expected to initiate industrial enterprises, which would in turn result in increased quantities and complexity of pollutants, including POPs. In order to reap the full benefits of this mode of economic development while conserving the environment, there is need to plan and develop the associated infrastructure to handle increased effluents and wastes. Some of the environmental challenges facing the industry include: generation and management of solid, liquid, and hazardous waste and e-waste; gaseous emissions, occupational health and safety; adoption of cleaner production technologies and compliance with EIA/EA, Waste, and Water regulations.</w:t>
      </w:r>
    </w:p>
    <w:p w14:paraId="3FA407A8" w14:textId="77777777" w:rsidR="00D70D43" w:rsidRPr="00554AB1" w:rsidRDefault="00D70D43" w:rsidP="00D70D43">
      <w:pPr>
        <w:pStyle w:val="ListParagraph"/>
        <w:ind w:left="3"/>
        <w:rPr>
          <w:rFonts w:cstheme="minorHAnsi"/>
        </w:rPr>
      </w:pPr>
    </w:p>
    <w:p w14:paraId="12C68822" w14:textId="77777777" w:rsidR="00D70D43" w:rsidRPr="00554AB1" w:rsidRDefault="00D70D43" w:rsidP="00D70D43">
      <w:pPr>
        <w:ind w:left="720"/>
        <w:contextualSpacing/>
        <w:rPr>
          <w:rFonts w:eastAsia="Times New Roman" w:cstheme="minorHAnsi"/>
          <w:bCs/>
        </w:rPr>
      </w:pPr>
    </w:p>
    <w:p w14:paraId="65613A7E" w14:textId="77777777" w:rsidR="00D70D43" w:rsidRPr="00554AB1" w:rsidRDefault="00D70D43" w:rsidP="00D70D43">
      <w:pPr>
        <w:ind w:left="-432" w:right="-432"/>
        <w:contextualSpacing/>
        <w:mirrorIndents/>
        <w:rPr>
          <w:rFonts w:eastAsia="Times New Roman" w:cstheme="minorHAnsi"/>
          <w:bCs/>
        </w:rPr>
      </w:pPr>
      <w:r w:rsidRPr="00554AB1">
        <w:rPr>
          <w:rFonts w:eastAsia="Times New Roman" w:cstheme="minorHAnsi"/>
          <w:b/>
        </w:rPr>
        <w:t>B – Sectoral and Institutional Context</w:t>
      </w:r>
    </w:p>
    <w:p w14:paraId="5E0DF22D" w14:textId="77777777" w:rsidR="00D70D43" w:rsidRPr="00554AB1" w:rsidRDefault="00D70D43" w:rsidP="00D70D43">
      <w:pPr>
        <w:ind w:left="720"/>
        <w:contextualSpacing/>
        <w:rPr>
          <w:rFonts w:eastAsia="Times New Roman" w:cstheme="minorHAnsi"/>
          <w:bCs/>
        </w:rPr>
      </w:pPr>
    </w:p>
    <w:p w14:paraId="58109298"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bCs/>
        </w:rPr>
        <w:t xml:space="preserve">Management of e-waste is among the most critical pollution management issues in Sub-Saharan Africa. </w:t>
      </w:r>
      <w:r w:rsidRPr="00554AB1">
        <w:rPr>
          <w:rFonts w:cstheme="minorHAnsi"/>
        </w:rPr>
        <w:t xml:space="preserve">Over the past 20 years, the ICT market has grown exponentially and is estimated to generate the fastest growing waste stream in the world, at 20-50 million tons per year. E-waste is shipped, often illegally, to developing countries for recycling. </w:t>
      </w:r>
      <w:r w:rsidRPr="00554AB1">
        <w:rPr>
          <w:rFonts w:cstheme="minorHAnsi"/>
          <w:bCs/>
        </w:rPr>
        <w:t>It is a valuable commodity with more than 92 percent recoverable and reusable materials ranging from precious metals (i.e. gold, silver, copper, platinum, and palladium) to recyclable metals and plastics, with a potential value of € 55 billion</w:t>
      </w:r>
      <w:r w:rsidRPr="00554AB1">
        <w:rPr>
          <w:rStyle w:val="FootnoteReference"/>
          <w:rFonts w:cstheme="minorHAnsi"/>
          <w:bCs/>
        </w:rPr>
        <w:footnoteReference w:id="49"/>
      </w:r>
      <w:r w:rsidRPr="00554AB1">
        <w:rPr>
          <w:rFonts w:cstheme="minorHAnsi"/>
          <w:bCs/>
        </w:rPr>
        <w:t xml:space="preserve">. However, it is expensive to treat it in an environmentally sound manner, and many developing countries lack the specific regulations and adequate infrastructure and technologies to implement ‘win-win’ solutions to this growing challenge. As a result, </w:t>
      </w:r>
      <w:r w:rsidRPr="00554AB1">
        <w:rPr>
          <w:rFonts w:cstheme="minorHAnsi"/>
        </w:rPr>
        <w:t>the quantities of e-waste accumulating in Sub-Saharan countries have been increasing exponentially in recent years. It is critical to address the policy environment for both mercury and e-waste management, improve knowledge on the economic and health impact of pollution, and facilitate access to cleaner technologies in the region.</w:t>
      </w:r>
    </w:p>
    <w:p w14:paraId="0ED4C0CA" w14:textId="77777777" w:rsidR="00D70D43" w:rsidRPr="00554AB1" w:rsidRDefault="00D70D43" w:rsidP="00D70D43">
      <w:pPr>
        <w:pStyle w:val="ListParagraph"/>
        <w:ind w:left="3"/>
        <w:jc w:val="both"/>
        <w:rPr>
          <w:rFonts w:cstheme="minorHAnsi"/>
        </w:rPr>
      </w:pPr>
    </w:p>
    <w:p w14:paraId="12F4CA9F"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Electronic waste is Kenya's fastest growing waste component, with an estimated 17,000 tons of electronic waste generated in annually.</w:t>
      </w:r>
      <w:r w:rsidRPr="00554AB1">
        <w:rPr>
          <w:rFonts w:cstheme="minorHAnsi"/>
        </w:rPr>
        <w:t xml:space="preserve"> When e-waste is burnt, toxic substances controlled under the Stockholm Convention such as UPOPs are generated and POPs contained in the waste such as PBDEs are released. The high rate of e-waste accumulation in Kenya is caused by incomplete product life-cycles, the increasing affordability of electronics, and donations of used electronics from other countries. Illegal import of e-waste or used electronics from all over the world is a major source of e-waste in Kenya. The high rate of e-waste accumulation in Kenya is caused by longer product life-cycles (3 years life time for personal computers in developed countries versus 7 years in Kenya). This is driven by the demand of inexpensive e-waste and secondary materials, as well as cheap dumping prices compared to the treatment with stricter standards in the export countries. Despite several initiatives, such as Computer for Schools Kenya (CFSK) and its offshoot Waste Electrical and Electronic Equipment Centre (WEEE Centre) that operate Kenya’s few e-waste recycling centers, and mobile phone collection initiatives from Nokia and HP, the recycling activities of e-waste in Kenya are usually carried out on an informal basis, often involving open burning in unmonitored dumpsites or landfills. This predominantly rudimentary recycling has caused substantial damage to the health of scavengers and local environment. The management of hazardous waste and toxic pollutants from the informal waste recycling sector is an emerging challenge for Kenya. </w:t>
      </w:r>
    </w:p>
    <w:p w14:paraId="540DE2F1" w14:textId="77777777" w:rsidR="00D70D43" w:rsidRPr="00554AB1" w:rsidRDefault="00D70D43" w:rsidP="00D70D43">
      <w:pPr>
        <w:pStyle w:val="ListParagraph"/>
        <w:ind w:left="3"/>
        <w:jc w:val="both"/>
        <w:rPr>
          <w:rFonts w:cstheme="minorHAnsi"/>
        </w:rPr>
      </w:pPr>
    </w:p>
    <w:p w14:paraId="33C825B2"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eastAsia="Times New Roman" w:cstheme="minorHAnsi"/>
          <w:b/>
        </w:rPr>
      </w:pPr>
      <w:r w:rsidRPr="00554AB1">
        <w:rPr>
          <w:rFonts w:eastAsia="Times New Roman" w:cstheme="minorHAnsi"/>
          <w:b/>
        </w:rPr>
        <w:t xml:space="preserve">E-waste is expensive to treat in an environmentally sound manner. </w:t>
      </w:r>
      <w:r w:rsidRPr="00554AB1">
        <w:rPr>
          <w:rFonts w:eastAsia="Times New Roman" w:cstheme="minorHAnsi"/>
        </w:rPr>
        <w:t>Many developing countries lack specific regulation and enforcement for this type of toxic waste, adequate infrastructure, and technologies to implement ‘win-win’ solutions of this growing challenge. Recycling of e-waste provides business opportunities due to waste’s economic value although e-waste recycling often operates as a ‘grey-sector’ of the economy. Arguably, recycling of e-waste can generate positive environmental impacts by reducing carbon emissions and reducing the demand for metals from mining. For instance, it is estimated that for every 1 ton of gold or platinum produced, over 10,000 tons of CO</w:t>
      </w:r>
      <w:r w:rsidRPr="00554AB1">
        <w:rPr>
          <w:rFonts w:eastAsia="Times New Roman" w:cstheme="minorHAnsi"/>
          <w:vertAlign w:val="subscript"/>
        </w:rPr>
        <w:t>2</w:t>
      </w:r>
      <w:r w:rsidRPr="00554AB1">
        <w:rPr>
          <w:rFonts w:eastAsia="Times New Roman" w:cstheme="minorHAnsi"/>
        </w:rPr>
        <w:t xml:space="preserve"> is emitted. If the same metals are recovered from recycled e-waste and equal amount of GHG emissions will not be released in the atmosphere. However, the environmental benefits are overshadowed by the huge health and socio-economic risks especially in the developing countries where labor costs are low, regulations are </w:t>
      </w:r>
      <w:r w:rsidRPr="00554AB1">
        <w:rPr>
          <w:rFonts w:eastAsia="Times New Roman" w:cstheme="minorHAnsi"/>
        </w:rPr>
        <w:lastRenderedPageBreak/>
        <w:t xml:space="preserve">absent, and enforcement is weak. </w:t>
      </w:r>
    </w:p>
    <w:p w14:paraId="205AF7F4" w14:textId="77777777" w:rsidR="00D70D43" w:rsidRPr="00554AB1" w:rsidRDefault="00D70D43" w:rsidP="00D70D43">
      <w:pPr>
        <w:pStyle w:val="ListParagraph"/>
        <w:ind w:left="0"/>
        <w:jc w:val="both"/>
        <w:rPr>
          <w:rFonts w:cstheme="minorHAnsi"/>
          <w:highlight w:val="yellow"/>
        </w:rPr>
      </w:pPr>
    </w:p>
    <w:p w14:paraId="5CE720C2"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bCs/>
        </w:rPr>
        <w:t xml:space="preserve">The institutional and policy environment dealing with e-waste is weak at the national level. </w:t>
      </w:r>
      <w:r w:rsidRPr="00554AB1">
        <w:rPr>
          <w:rFonts w:cstheme="minorHAnsi"/>
        </w:rPr>
        <w:t>Institutions</w:t>
      </w:r>
      <w:r w:rsidRPr="00554AB1">
        <w:rPr>
          <w:rFonts w:cstheme="minorHAnsi"/>
          <w:bCs/>
        </w:rPr>
        <w:t xml:space="preserve"> in Sub-Saharan Africa lack effective regulations and enforcement, users lack adequate management strategies and technologies, and the public has limited information on environmental-health risks. At the national level, specific factors that undermine efforts to address human health risks include: illegal trade, informal recycling of e-waste, inadequate infrastructure for proper treatment and disposal of hazardous waste, weak institutions, lack of monitoring and awareness of health risks, and weak coordination and shared objectives among key stakeholders on addressing harmful impacts from chemicals. </w:t>
      </w:r>
    </w:p>
    <w:p w14:paraId="29E09981" w14:textId="77777777" w:rsidR="00D70D43" w:rsidRPr="00554AB1" w:rsidRDefault="00D70D43" w:rsidP="00D70D43">
      <w:pPr>
        <w:pStyle w:val="ListParagraph"/>
        <w:jc w:val="both"/>
        <w:rPr>
          <w:rFonts w:cstheme="minorHAnsi"/>
          <w:b/>
          <w:bCs/>
        </w:rPr>
      </w:pPr>
    </w:p>
    <w:p w14:paraId="286DBA57"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bCs/>
        </w:rPr>
        <w:t>Effective regulations combined with incentives would help government deliver on commitments under key international agreements.</w:t>
      </w:r>
      <w:r w:rsidRPr="00554AB1">
        <w:rPr>
          <w:rFonts w:cstheme="minorHAnsi"/>
          <w:bCs/>
        </w:rPr>
        <w:t xml:space="preserve"> Extensive consultations with African governments and partners indicate that there is a common understanding and demand for a more harmonized approach towards reducing environmental and health risks resulting from mercury and POPs emissions from wastes. Emerging recommendations from analytical studies support a need to harmonize efforts and to understand institutional capacity constraints and their economic, environmental, and social implications at the national and regional levels. </w:t>
      </w:r>
      <w:r w:rsidRPr="00554AB1">
        <w:rPr>
          <w:rFonts w:eastAsia="Times New Roman" w:cstheme="minorHAnsi"/>
          <w:bCs/>
        </w:rPr>
        <w:t xml:space="preserve">In Kenya, the Environmental Management and Coordination Act (EMCA), amended in 2015, adds to other sectoral statutes on various facets of the environment and at times creating conflicts and overlaps in environmental policies and laws. The promulgation of the Constitution of Kenya in 2010 has profound implications for the management of the environment, including chemicals and solid waste at the national, regional, and county levels. </w:t>
      </w:r>
    </w:p>
    <w:p w14:paraId="1492523B" w14:textId="77777777" w:rsidR="00D70D43" w:rsidRPr="00554AB1" w:rsidRDefault="00D70D43" w:rsidP="00D70D43">
      <w:pPr>
        <w:pStyle w:val="ListParagraph"/>
        <w:jc w:val="both"/>
        <w:rPr>
          <w:rFonts w:eastAsia="Times New Roman" w:cstheme="minorHAnsi"/>
          <w:b/>
          <w:bCs/>
        </w:rPr>
      </w:pPr>
    </w:p>
    <w:p w14:paraId="4C6964DE"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E-waste management practices in Kenya have until very recently been predominantly informal, mainly involving collection and refurbishing and resale which is common in the informal sector.</w:t>
      </w:r>
      <w:r w:rsidRPr="00554AB1">
        <w:rPr>
          <w:rFonts w:cstheme="minorHAnsi"/>
        </w:rPr>
        <w:t xml:space="preserve">  There appears to be limited dumping of e-waste in dumping sites as a result of the very active informal sector that collects the wastes before it reaches dumping sites.  Other management practices include voluntary take back schemes piloted by the private sector.  In 2013, an e-waste recycling plant was established in Nairobi. East Africa Compliant Recycling (EACR) is operating Kenya’s first e-waste recycling facility, operating to international health, safety, and environmental standards, and establishing a local, sustainable IT e-waste recycling industry. Local industries have the capacity to recover plastics, ferrous metals and aluminum, and sell the same to various users, including the informal market. However, local industries lack capacity to deal with copper, precious metals, and CRTs, as well as other hazardous fractions.</w:t>
      </w:r>
    </w:p>
    <w:p w14:paraId="024F84C6" w14:textId="77777777" w:rsidR="00D70D43" w:rsidRPr="00554AB1" w:rsidRDefault="00D70D43" w:rsidP="00D70D43">
      <w:pPr>
        <w:pStyle w:val="ListParagraph"/>
        <w:jc w:val="both"/>
        <w:rPr>
          <w:rFonts w:cstheme="minorHAnsi"/>
        </w:rPr>
      </w:pPr>
    </w:p>
    <w:p w14:paraId="3FA55787"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t>Due to a long-time lack of policies, statutes and regulatory mechanisms and standards for disposal of e-Waste, such waste inevitably ends up improperly burned or dumped, or is partly recycled in unsafe, environmentally unfriendly and even life-threatening conditions. These unsafe practices are exposing Kenyans to severe health risks as the chemicals seep into the water and find their way to crops that people eventually consume. Hazardous compounds found in this waste have been linked to strong neuro-developmental and behavioral effects, especially in children. Health risks may result from direct contact with harmful materials such as lead, cadmium, chromium and other hazardous substances or from toxic substances that subsequently accumulate in soil, water streams and food. To address environmental issues related to increasing e-Waste, and to ensure their storage, transport, treatment, reuse, recycling, recovery and disposal is conducted in an environmentally sound manner, a proactive approach is essential.</w:t>
      </w:r>
    </w:p>
    <w:p w14:paraId="451BA758" w14:textId="77777777" w:rsidR="00D70D43" w:rsidRPr="00554AB1" w:rsidRDefault="00D70D43" w:rsidP="00D70D43">
      <w:pPr>
        <w:pStyle w:val="ListParagraph"/>
        <w:jc w:val="both"/>
        <w:rPr>
          <w:rFonts w:cstheme="minorHAnsi"/>
        </w:rPr>
      </w:pPr>
    </w:p>
    <w:p w14:paraId="50EFA885"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lastRenderedPageBreak/>
        <w:t>Current level of institutional capacity to monitor enforce good practices and manage health and environmental consequences is limited.</w:t>
      </w:r>
      <w:r w:rsidRPr="00554AB1">
        <w:rPr>
          <w:rFonts w:cstheme="minorHAnsi"/>
        </w:rPr>
        <w:t xml:space="preserve"> Despite the existing Waste Management Regulations (2006), Kenya’s National Solid Waste Management Strategy (2014) and the development of the draft Electronic Waste Management Regulations (NEMA), the institutional framework for waste management in Kenya is not fully operational. Enforcement of regulations is also challenging due to the diversity and variety of e-waste streams, scattered sources, unregulated imports and the large informal workforce. There is a need for supporting standards or guidelines for e-waste management and their enforcement, based on the new national regulations. </w:t>
      </w:r>
    </w:p>
    <w:p w14:paraId="1520D015" w14:textId="77777777" w:rsidR="00D70D43" w:rsidRPr="00554AB1" w:rsidRDefault="00D70D43" w:rsidP="00D70D43">
      <w:pPr>
        <w:pStyle w:val="ListParagraph"/>
        <w:jc w:val="both"/>
        <w:rPr>
          <w:rFonts w:cstheme="minorHAnsi"/>
        </w:rPr>
      </w:pPr>
    </w:p>
    <w:p w14:paraId="26DB8056"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Lack of effective regulatory frameworks and infrastructure for sound hazardous waste management, including safe disposal and recycling is a critical barrier to e-waste recycling in Kenya.</w:t>
      </w:r>
      <w:r w:rsidRPr="00554AB1">
        <w:rPr>
          <w:rFonts w:cstheme="minorHAnsi"/>
        </w:rPr>
        <w:t xml:space="preserve"> Collectors, </w:t>
      </w:r>
      <w:proofErr w:type="spellStart"/>
      <w:r w:rsidRPr="00554AB1">
        <w:rPr>
          <w:rFonts w:cstheme="minorHAnsi"/>
        </w:rPr>
        <w:t>refurbishers</w:t>
      </w:r>
      <w:proofErr w:type="spellEnd"/>
      <w:r w:rsidRPr="00554AB1">
        <w:rPr>
          <w:rFonts w:cstheme="minorHAnsi"/>
        </w:rPr>
        <w:t xml:space="preserve"> and the recycling infrastructures are generally not developed and therefore the flow down the value chain has much lower volumes. The existing system for managing e-waste in Kenya is generally not sustainable because mechanisms for collecting, sorting, reuse, refurbishing, repairing, and remanufacturing are not well developed and/or implemented.  Problems associated with market issues, obsolescence issues, feedstock collection, feedstock management, and product-design will need to be addressed in order to generate further interest in e-waste recycling.  </w:t>
      </w:r>
    </w:p>
    <w:p w14:paraId="4DD71A64" w14:textId="77777777" w:rsidR="00D70D43" w:rsidRPr="00554AB1" w:rsidRDefault="00D70D43" w:rsidP="00D70D43">
      <w:pPr>
        <w:pStyle w:val="ListParagraph"/>
        <w:jc w:val="both"/>
        <w:rPr>
          <w:rFonts w:cstheme="minorHAnsi"/>
        </w:rPr>
      </w:pPr>
    </w:p>
    <w:p w14:paraId="501C3C2E"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eastAsia="Times New Roman" w:cstheme="minorHAnsi"/>
          <w:b/>
          <w:bCs/>
        </w:rPr>
        <w:t>There is insufficient</w:t>
      </w:r>
      <w:r w:rsidRPr="00554AB1">
        <w:rPr>
          <w:rFonts w:cstheme="minorHAnsi"/>
          <w:b/>
        </w:rPr>
        <w:t xml:space="preserve"> awareness on and roles of waste management practices</w:t>
      </w:r>
      <w:r w:rsidRPr="00554AB1">
        <w:rPr>
          <w:rFonts w:eastAsia="Times New Roman" w:cstheme="minorHAnsi"/>
          <w:b/>
          <w:bCs/>
        </w:rPr>
        <w:t xml:space="preserve"> at</w:t>
      </w:r>
      <w:r w:rsidRPr="00554AB1">
        <w:rPr>
          <w:rFonts w:cstheme="minorHAnsi"/>
          <w:b/>
        </w:rPr>
        <w:t xml:space="preserve"> the consumer and producer levels in Kenya</w:t>
      </w:r>
      <w:r w:rsidRPr="00554AB1">
        <w:rPr>
          <w:rFonts w:eastAsia="Times New Roman" w:cstheme="minorHAnsi"/>
          <w:b/>
          <w:bCs/>
        </w:rPr>
        <w:t xml:space="preserve">. </w:t>
      </w:r>
      <w:r w:rsidRPr="00554AB1">
        <w:rPr>
          <w:rFonts w:eastAsia="Times New Roman" w:cstheme="minorHAnsi"/>
          <w:bCs/>
        </w:rPr>
        <w:t>The roles</w:t>
      </w:r>
      <w:r w:rsidRPr="00554AB1">
        <w:rPr>
          <w:rFonts w:cstheme="minorHAnsi"/>
        </w:rPr>
        <w:t xml:space="preserve"> and responsibilities are spread to various key stakeholder institutions with no clear coordination, accountability and enforcement mechanisms. Stakeholder coordination is very important to ensure that waste, including e-waste, is managed jointly with other line ministries like Ministry of Environment and Forests, Ministry of Health, Ministry of Education, Ministry of Industry, Trade and Cooperatives, Ministry of Information, Communication and Technology, and Ministry of Devolution and the Arid and Semi-Arid Lands (ASALs), among others.</w:t>
      </w:r>
    </w:p>
    <w:p w14:paraId="663D7FFC" w14:textId="77777777" w:rsidR="00D70D43" w:rsidRPr="00554AB1" w:rsidRDefault="00D70D43" w:rsidP="00D70D43">
      <w:pPr>
        <w:pStyle w:val="ListParagraph"/>
        <w:jc w:val="both"/>
        <w:rPr>
          <w:rFonts w:cstheme="minorHAnsi"/>
        </w:rPr>
      </w:pPr>
    </w:p>
    <w:p w14:paraId="6063C721"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Kenya is continuing to prioritize incorporation of e-waste control and management specifically into its legislative framework.</w:t>
      </w:r>
      <w:r w:rsidRPr="00554AB1">
        <w:rPr>
          <w:rFonts w:cstheme="minorHAnsi"/>
        </w:rPr>
        <w:t xml:space="preserve"> Currently existing legislation and its international agreements, such as the Basel, Bamako and Stockholm conventions cover certain aspects of e-waste management.  However, Kenya has prepared guidelines specifically for e-waste management and in 2013 further completed the development of draft e-waste regulations, which are yet to come into force.  Further, the Environmental Management and Coordination (Waste Management Regulations) regulations 2006, may apply to electronic waste where they can be classified as hazardous waste.</w:t>
      </w:r>
    </w:p>
    <w:p w14:paraId="6EDB1BFF" w14:textId="77777777" w:rsidR="00D70D43" w:rsidRPr="00554AB1" w:rsidRDefault="00D70D43" w:rsidP="00D70D43">
      <w:pPr>
        <w:pStyle w:val="ListParagraph"/>
        <w:rPr>
          <w:rFonts w:cstheme="minorHAnsi"/>
        </w:rPr>
      </w:pPr>
    </w:p>
    <w:p w14:paraId="66CDEBC3"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The transboundary nature of UPOPs emissions, and the regional opportunities for solutions call for a regional project approach.</w:t>
      </w:r>
      <w:r w:rsidRPr="00554AB1">
        <w:rPr>
          <w:rFonts w:cstheme="minorHAnsi"/>
        </w:rPr>
        <w:t xml:space="preserve"> The World Bank responded to requests from interested countries to leverage its convening power at the highest levels of national governments to help accelerate action toward addressing commitments under the relevant conventions. The preparatory studies carried out through the GEF-funded MSP and under the World Bank’s Pollution Management and Environmental Health (PMEH) Program emphasized the need for a regional approach to address these issues. The studies on e-waste trade revealed that there is a major illegal trade across African countries. Unless there are regionally harmonized policies on e-waste trade and their respective uses, country-level interventions may not have the desired outcomes. The project will leverage existing regional entities, including the Regional Economic Communities (REC) such as ECOWAS, WAEMU, COMESA, and SADC to support regional harmonization, thereby strengthening national and regional systems to enforce regulations and manage illegal trade </w:t>
      </w:r>
      <w:r w:rsidRPr="00554AB1">
        <w:rPr>
          <w:rFonts w:cstheme="minorHAnsi"/>
        </w:rPr>
        <w:lastRenderedPageBreak/>
        <w:t xml:space="preserve">flows. In addition, it will work closely with local communities and community-based organizations, who will benefit from opportunities for income generation and green jobs. </w:t>
      </w:r>
    </w:p>
    <w:p w14:paraId="04DA87DD" w14:textId="77777777" w:rsidR="00D70D43" w:rsidRPr="00554AB1" w:rsidRDefault="00D70D43" w:rsidP="00D70D43">
      <w:pPr>
        <w:pStyle w:val="ListParagraph"/>
        <w:rPr>
          <w:rFonts w:eastAsia="Times New Roman" w:cstheme="minorHAnsi"/>
          <w:bCs/>
        </w:rPr>
      </w:pPr>
    </w:p>
    <w:p w14:paraId="4E9ACB9A" w14:textId="77777777" w:rsidR="00D70D43" w:rsidRPr="00554AB1" w:rsidRDefault="00D70D43" w:rsidP="00D70D43">
      <w:pPr>
        <w:ind w:left="-432" w:right="-432"/>
        <w:contextualSpacing/>
        <w:mirrorIndents/>
        <w:rPr>
          <w:rFonts w:eastAsia="Times New Roman" w:cstheme="minorHAnsi"/>
          <w:b/>
        </w:rPr>
      </w:pPr>
    </w:p>
    <w:p w14:paraId="2381B421" w14:textId="77777777" w:rsidR="00D70D43" w:rsidRPr="00554AB1" w:rsidRDefault="00D70D43" w:rsidP="00D70D43">
      <w:pPr>
        <w:ind w:left="-432" w:right="-432"/>
        <w:mirrorIndents/>
        <w:rPr>
          <w:rFonts w:eastAsia="Calibri" w:cstheme="minorHAnsi"/>
          <w:b/>
        </w:rPr>
      </w:pPr>
      <w:r w:rsidRPr="00554AB1">
        <w:rPr>
          <w:rFonts w:eastAsia="Calibri" w:cstheme="minorHAnsi"/>
          <w:b/>
        </w:rPr>
        <w:t>C – Relevance to Higher Level Objectives</w:t>
      </w:r>
    </w:p>
    <w:p w14:paraId="012124FB" w14:textId="4E780529" w:rsidR="00D70D43" w:rsidRPr="00037590" w:rsidRDefault="00D70D43" w:rsidP="00D70D43">
      <w:pPr>
        <w:pStyle w:val="ListParagraph"/>
        <w:widowControl w:val="0"/>
        <w:numPr>
          <w:ilvl w:val="0"/>
          <w:numId w:val="21"/>
        </w:numPr>
        <w:autoSpaceDE w:val="0"/>
        <w:autoSpaceDN w:val="0"/>
        <w:adjustRightInd w:val="0"/>
        <w:spacing w:after="0" w:line="240" w:lineRule="auto"/>
        <w:jc w:val="both"/>
        <w:rPr>
          <w:rFonts w:cstheme="minorHAnsi"/>
          <w:color w:val="0D0D0D"/>
          <w:highlight w:val="yellow"/>
        </w:rPr>
      </w:pPr>
      <w:r w:rsidRPr="00037590">
        <w:rPr>
          <w:rFonts w:cstheme="minorHAnsi"/>
          <w:b/>
        </w:rPr>
        <w:t xml:space="preserve">The proposed </w:t>
      </w:r>
      <w:r w:rsidR="00037590" w:rsidRPr="00037590">
        <w:rPr>
          <w:rFonts w:cstheme="minorHAnsi"/>
          <w:b/>
        </w:rPr>
        <w:t xml:space="preserve">project </w:t>
      </w:r>
      <w:r w:rsidRPr="00037590">
        <w:rPr>
          <w:rFonts w:cstheme="minorHAnsi"/>
          <w:b/>
        </w:rPr>
        <w:t>is aligned with the WBG’s twin goals of ending extreme poverty and promoting shared prosperity.</w:t>
      </w:r>
      <w:r w:rsidRPr="00037590">
        <w:rPr>
          <w:rFonts w:cstheme="minorHAnsi"/>
        </w:rPr>
        <w:t xml:space="preserve"> This </w:t>
      </w:r>
      <w:r w:rsidRPr="00037590">
        <w:rPr>
          <w:rFonts w:cstheme="minorHAnsi"/>
          <w:bCs/>
        </w:rPr>
        <w:t>project</w:t>
      </w:r>
      <w:r w:rsidRPr="00037590">
        <w:rPr>
          <w:rFonts w:cstheme="minorHAnsi"/>
        </w:rPr>
        <w:t xml:space="preserve"> follows the Regional Integration Assistance Strategy FY18-FY23, specifically Strategic Priority 4 “Promote Collective Action to Address Regional Economic Contagion, Fragility, Epidemic and Climate ‘Hot Spots’” aiming to build regional collaboration and knowledge sharing to address common problems such as waste management and pollution and to share good practices and support capacity building and strengthen civic engagement. </w:t>
      </w:r>
      <w:r w:rsidRPr="00037590">
        <w:rPr>
          <w:rFonts w:cstheme="minorHAnsi"/>
          <w:bCs/>
        </w:rPr>
        <w:t>It</w:t>
      </w:r>
      <w:r w:rsidRPr="00037590">
        <w:rPr>
          <w:rFonts w:cstheme="minorHAnsi"/>
        </w:rPr>
        <w:t xml:space="preserve"> is </w:t>
      </w:r>
      <w:r w:rsidRPr="00037590">
        <w:rPr>
          <w:rFonts w:cstheme="minorHAnsi"/>
          <w:bCs/>
        </w:rPr>
        <w:t xml:space="preserve">also </w:t>
      </w:r>
      <w:r w:rsidRPr="00037590">
        <w:rPr>
          <w:rFonts w:cstheme="minorHAnsi"/>
        </w:rPr>
        <w:t xml:space="preserve">aligned with </w:t>
      </w:r>
      <w:r w:rsidRPr="00037590">
        <w:rPr>
          <w:rFonts w:cstheme="minorHAnsi"/>
          <w:bCs/>
        </w:rPr>
        <w:t xml:space="preserve">the </w:t>
      </w:r>
      <w:r w:rsidRPr="00037590">
        <w:rPr>
          <w:rFonts w:cstheme="minorHAnsi"/>
        </w:rPr>
        <w:t>Bank’s Africa Strategy</w:t>
      </w:r>
      <w:r w:rsidRPr="00037590">
        <w:rPr>
          <w:rFonts w:cstheme="minorHAnsi"/>
          <w:bCs/>
        </w:rPr>
        <w:t xml:space="preserve">, supporting Pillars 1 and 2, related to </w:t>
      </w:r>
      <w:r w:rsidRPr="00037590">
        <w:rPr>
          <w:rFonts w:cstheme="minorHAnsi"/>
        </w:rPr>
        <w:t xml:space="preserve">competitiveness and employment, vulnerability and resilience, and governance and public-sector capacity. </w:t>
      </w:r>
    </w:p>
    <w:p w14:paraId="28E9AFF6" w14:textId="77777777" w:rsidR="00D70D43" w:rsidRPr="00554AB1" w:rsidRDefault="00D70D43" w:rsidP="00D70D43">
      <w:pPr>
        <w:pStyle w:val="ListParagraph"/>
        <w:ind w:left="3"/>
        <w:jc w:val="both"/>
        <w:rPr>
          <w:rFonts w:cstheme="minorHAnsi"/>
          <w:bCs/>
        </w:rPr>
      </w:pPr>
    </w:p>
    <w:p w14:paraId="7D4450FB" w14:textId="77777777" w:rsidR="00037590" w:rsidRDefault="00D70D43" w:rsidP="00037590">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eastAsia="Times New Roman" w:cstheme="minorHAnsi"/>
          <w:b/>
          <w:bCs/>
        </w:rPr>
        <w:t>The project</w:t>
      </w:r>
      <w:r w:rsidRPr="00554AB1">
        <w:rPr>
          <w:rFonts w:cstheme="minorHAnsi"/>
          <w:b/>
        </w:rPr>
        <w:t xml:space="preserve"> will contribute to the capacity of African countries participating in the Program to better understand the management aspects of chemical waste in relation to their aspiration to meet SDGs.</w:t>
      </w:r>
      <w:r w:rsidRPr="00554AB1">
        <w:rPr>
          <w:rFonts w:cstheme="minorHAnsi"/>
        </w:rPr>
        <w:t xml:space="preserve"> Management of hazardous chemicals is closely linked to Goal 3 (Good health and Well-being), Goal 6 (Clean water and Sanitation), Goal 11 (Sustainable Cities and Communities), Goal 12 (Responsible Consumption and Production), Goal 14 (Life Below Water), and Goal 8 (Decent Work and Economic Growth). </w:t>
      </w:r>
    </w:p>
    <w:p w14:paraId="3FF80B55" w14:textId="77777777" w:rsidR="00037590" w:rsidRPr="00037590" w:rsidRDefault="00037590" w:rsidP="00037590">
      <w:pPr>
        <w:pStyle w:val="ListParagraph"/>
        <w:rPr>
          <w:rFonts w:cstheme="minorHAnsi"/>
          <w:bCs/>
        </w:rPr>
      </w:pPr>
    </w:p>
    <w:p w14:paraId="7413F19E" w14:textId="36266CC4" w:rsidR="00037590" w:rsidRPr="00037590" w:rsidRDefault="00037590" w:rsidP="00037590">
      <w:pPr>
        <w:pStyle w:val="ListParagraph"/>
        <w:widowControl w:val="0"/>
        <w:numPr>
          <w:ilvl w:val="0"/>
          <w:numId w:val="21"/>
        </w:numPr>
        <w:autoSpaceDE w:val="0"/>
        <w:autoSpaceDN w:val="0"/>
        <w:adjustRightInd w:val="0"/>
        <w:spacing w:after="0" w:line="240" w:lineRule="auto"/>
        <w:jc w:val="both"/>
        <w:rPr>
          <w:rFonts w:cstheme="minorHAnsi"/>
        </w:rPr>
      </w:pPr>
      <w:r w:rsidRPr="00037590">
        <w:rPr>
          <w:rFonts w:cstheme="minorHAnsi"/>
          <w:bCs/>
        </w:rPr>
        <w:t>T</w:t>
      </w:r>
      <w:r w:rsidRPr="00037590">
        <w:rPr>
          <w:rFonts w:cstheme="minorHAnsi"/>
          <w:b/>
          <w:bCs/>
        </w:rPr>
        <w:t xml:space="preserve">he project will contribute to the GEF 6 Chemicals and Waste Focal Area Strategy </w:t>
      </w:r>
      <w:r w:rsidRPr="00037590">
        <w:rPr>
          <w:rFonts w:cstheme="minorHAnsi"/>
          <w:bCs/>
        </w:rPr>
        <w:t xml:space="preserve">that aims “to prevent the exposure of humans and the environment to harmful chemicals and waste of global importance including POPs, mercury and ozone depleting substances.”  </w:t>
      </w:r>
    </w:p>
    <w:p w14:paraId="68078E73" w14:textId="77777777" w:rsidR="00D70D43" w:rsidRPr="00554AB1" w:rsidRDefault="00D70D43" w:rsidP="00D70D43">
      <w:pPr>
        <w:jc w:val="both"/>
        <w:rPr>
          <w:rFonts w:cstheme="minorHAnsi"/>
          <w:bCs/>
        </w:rPr>
      </w:pPr>
    </w:p>
    <w:p w14:paraId="04F0B79C"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t xml:space="preserve">The project is aligned with </w:t>
      </w:r>
      <w:r w:rsidRPr="00554AB1">
        <w:rPr>
          <w:rFonts w:cstheme="minorHAnsi"/>
          <w:b/>
        </w:rPr>
        <w:t>Kenya’s Country Partnership Strategy (FY14-18)</w:t>
      </w:r>
      <w:r w:rsidRPr="00554AB1">
        <w:rPr>
          <w:rFonts w:cstheme="minorHAnsi"/>
        </w:rPr>
        <w:t xml:space="preserve"> as it will protect vulnerable groups and women (by reducing unsustainable e-waste management) and will improve business environment (by responding to environmental health pressures associated with poor management of hazardous waste. The project is fully aligned with the country’s: updated National Implementation Plan (NIP) which shows the significance and priority attached to POPs releases from e-waste; Vision 2030 which calls for providing clean and secure environment; and with the Government’s emerging drive to improve waste management, particularly, e-waste management strategies and plans. The project components are directly linked with a number of activities under the current NIP, such as Activity 5 Measures to reduce releases from unintentional production (Article 5), Activity 6: Measures to reduce releases from stockpiles and wastes (Article 6) and provides a number of opportunities to contribute to Activities 9 and 10 dedicated to public awareness raising, knowledge exchange and stakeholder involvement. </w:t>
      </w:r>
      <w:r w:rsidRPr="00554AB1">
        <w:rPr>
          <w:rFonts w:eastAsia="Times New Roman" w:cstheme="minorHAnsi"/>
          <w:bCs/>
        </w:rPr>
        <w:t>The project will also</w:t>
      </w:r>
      <w:r w:rsidRPr="00554AB1">
        <w:rPr>
          <w:rFonts w:cstheme="minorHAnsi"/>
        </w:rPr>
        <w:t xml:space="preserve"> respond to Kenya’s National Solid Waste Management Strategy, specifically Section 2.2.6 of the Strategy which addresses e-Waste.</w:t>
      </w:r>
    </w:p>
    <w:p w14:paraId="21C08961" w14:textId="77777777" w:rsidR="00D70D43" w:rsidRPr="00554AB1" w:rsidRDefault="00D70D43" w:rsidP="00D70D43">
      <w:pPr>
        <w:spacing w:before="120"/>
        <w:ind w:right="-432"/>
        <w:contextualSpacing/>
        <w:mirrorIndents/>
        <w:jc w:val="both"/>
        <w:rPr>
          <w:rFonts w:cstheme="minorHAnsi"/>
          <w:highlight w:val="yellow"/>
        </w:rPr>
      </w:pPr>
    </w:p>
    <w:p w14:paraId="7263206F"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bCs/>
        </w:rPr>
      </w:pPr>
      <w:r w:rsidRPr="00554AB1">
        <w:rPr>
          <w:rFonts w:cstheme="minorHAnsi"/>
          <w:b/>
          <w:bCs/>
        </w:rPr>
        <w:t>The project will be implemented in synergy with other ongoing projects and initiatives supporting the environmental health agenda in Africa.</w:t>
      </w:r>
      <w:r w:rsidRPr="00554AB1">
        <w:rPr>
          <w:rFonts w:cstheme="minorHAnsi"/>
          <w:bCs/>
        </w:rPr>
        <w:t xml:space="preserve"> Principal among these projects are the </w:t>
      </w:r>
      <w:r w:rsidRPr="00554AB1">
        <w:rPr>
          <w:rFonts w:cstheme="minorHAnsi"/>
          <w:bCs/>
          <w:i/>
        </w:rPr>
        <w:t xml:space="preserve">GEF Knowledge Exchange and Institutional Partnerships to Reduce Environmental Health Risks from Exposure to Harmful Chemicals </w:t>
      </w:r>
      <w:r w:rsidRPr="00554AB1">
        <w:rPr>
          <w:rFonts w:cstheme="minorHAnsi"/>
          <w:bCs/>
          <w:i/>
        </w:rPr>
        <w:lastRenderedPageBreak/>
        <w:t>and Waste</w:t>
      </w:r>
      <w:r w:rsidRPr="00554AB1">
        <w:rPr>
          <w:rFonts w:cstheme="minorHAnsi"/>
          <w:bCs/>
        </w:rPr>
        <w:t xml:space="preserve"> (BETF, P166233)</w:t>
      </w:r>
      <w:r w:rsidRPr="00554AB1">
        <w:rPr>
          <w:rFonts w:cstheme="minorHAnsi"/>
        </w:rPr>
        <w:t>.</w:t>
      </w:r>
      <w:r w:rsidRPr="00554AB1">
        <w:rPr>
          <w:rFonts w:cstheme="minorHAnsi"/>
          <w:bCs/>
        </w:rPr>
        <w:t xml:space="preserve"> In addition, the proposed project will be implemented in close collaboration with several other ongoing operations, such as the Kenya Urban Support Program (KUSP). </w:t>
      </w:r>
    </w:p>
    <w:p w14:paraId="352397BB" w14:textId="77777777" w:rsidR="00D70D43" w:rsidRPr="00554AB1" w:rsidRDefault="00D70D43" w:rsidP="00D70D43">
      <w:pPr>
        <w:tabs>
          <w:tab w:val="left" w:pos="0"/>
        </w:tabs>
        <w:ind w:left="-432" w:right="-432"/>
        <w:mirrorIndents/>
        <w:jc w:val="both"/>
        <w:rPr>
          <w:rFonts w:eastAsia="Times New Roman" w:cstheme="minorHAnsi"/>
          <w:b/>
          <w:bCs/>
        </w:rPr>
      </w:pPr>
    </w:p>
    <w:p w14:paraId="30D24364" w14:textId="2C2F495E" w:rsidR="00D70D43" w:rsidRPr="00554AB1" w:rsidRDefault="00D70D43" w:rsidP="00B04C14">
      <w:pPr>
        <w:tabs>
          <w:tab w:val="left" w:pos="0"/>
        </w:tabs>
        <w:ind w:left="-432" w:right="-432"/>
        <w:mirrorIndents/>
        <w:jc w:val="both"/>
        <w:rPr>
          <w:rFonts w:eastAsia="Times New Roman" w:cstheme="minorHAnsi"/>
        </w:rPr>
      </w:pPr>
      <w:r w:rsidRPr="00554AB1">
        <w:rPr>
          <w:rFonts w:eastAsia="Times New Roman" w:cstheme="minorHAnsi"/>
          <w:b/>
          <w:bCs/>
        </w:rPr>
        <w:t>PROJECT DESCRIPTION</w:t>
      </w:r>
    </w:p>
    <w:p w14:paraId="0D701711" w14:textId="77777777" w:rsidR="00D70D43" w:rsidRPr="00554AB1" w:rsidRDefault="00D70D43" w:rsidP="00D70D43">
      <w:pPr>
        <w:ind w:left="-432" w:right="-432"/>
        <w:mirrorIndents/>
        <w:rPr>
          <w:rFonts w:eastAsia="Calibri" w:cstheme="minorHAnsi"/>
          <w:b/>
        </w:rPr>
      </w:pPr>
      <w:r w:rsidRPr="00554AB1">
        <w:rPr>
          <w:rFonts w:eastAsia="Calibri" w:cstheme="minorHAnsi"/>
          <w:b/>
        </w:rPr>
        <w:t>A – Project Development Objective</w:t>
      </w:r>
    </w:p>
    <w:p w14:paraId="2031A272" w14:textId="77777777" w:rsidR="00D70D43" w:rsidRPr="00554AB1" w:rsidRDefault="00D70D43" w:rsidP="00D70D43">
      <w:pPr>
        <w:keepNext/>
        <w:ind w:left="-432" w:right="-432"/>
        <w:mirrorIndents/>
        <w:rPr>
          <w:rFonts w:eastAsia="Calibri" w:cstheme="minorHAnsi"/>
          <w:b/>
          <w:bCs/>
        </w:rPr>
      </w:pPr>
      <w:r w:rsidRPr="00554AB1">
        <w:rPr>
          <w:rFonts w:eastAsia="Calibri" w:cstheme="minorHAnsi"/>
          <w:b/>
          <w:bCs/>
        </w:rPr>
        <w:t>PDO Statement</w:t>
      </w:r>
    </w:p>
    <w:p w14:paraId="2B31BCE4" w14:textId="77777777" w:rsidR="00D70D43" w:rsidRPr="00554AB1" w:rsidRDefault="00D70D43" w:rsidP="002E38A2">
      <w:pPr>
        <w:pStyle w:val="ListParagraph"/>
        <w:keepNext/>
        <w:widowControl w:val="0"/>
        <w:numPr>
          <w:ilvl w:val="0"/>
          <w:numId w:val="21"/>
        </w:numPr>
        <w:autoSpaceDE w:val="0"/>
        <w:autoSpaceDN w:val="0"/>
        <w:adjustRightInd w:val="0"/>
        <w:spacing w:after="0" w:line="240" w:lineRule="auto"/>
        <w:ind w:right="-432"/>
        <w:mirrorIndents/>
        <w:rPr>
          <w:rFonts w:cstheme="minorHAnsi"/>
        </w:rPr>
      </w:pPr>
      <w:r w:rsidRPr="00554AB1">
        <w:rPr>
          <w:rFonts w:cstheme="minorHAnsi"/>
          <w:bCs/>
        </w:rPr>
        <w:t xml:space="preserve">The project aims to reduce exposure to </w:t>
      </w:r>
      <w:proofErr w:type="spellStart"/>
      <w:r w:rsidRPr="00554AB1">
        <w:rPr>
          <w:rFonts w:cstheme="minorHAnsi"/>
          <w:bCs/>
        </w:rPr>
        <w:t>uPOPs</w:t>
      </w:r>
      <w:proofErr w:type="spellEnd"/>
      <w:r w:rsidRPr="00554AB1">
        <w:rPr>
          <w:rFonts w:cstheme="minorHAnsi"/>
          <w:bCs/>
        </w:rPr>
        <w:t xml:space="preserve"> pollution in pilot sites and </w:t>
      </w:r>
      <w:r w:rsidRPr="00554AB1">
        <w:rPr>
          <w:rFonts w:cstheme="minorHAnsi"/>
        </w:rPr>
        <w:t xml:space="preserve">strengthen the institutional capacity to </w:t>
      </w:r>
      <w:r w:rsidRPr="00554AB1">
        <w:rPr>
          <w:rFonts w:cstheme="minorHAnsi"/>
          <w:bCs/>
        </w:rPr>
        <w:t xml:space="preserve">manage and </w:t>
      </w:r>
      <w:r w:rsidRPr="00554AB1">
        <w:rPr>
          <w:rFonts w:cstheme="minorHAnsi"/>
        </w:rPr>
        <w:t xml:space="preserve">regulate </w:t>
      </w:r>
      <w:r w:rsidRPr="00554AB1">
        <w:rPr>
          <w:rFonts w:cstheme="minorHAnsi"/>
          <w:bCs/>
        </w:rPr>
        <w:t>e-</w:t>
      </w:r>
      <w:r w:rsidRPr="00554AB1">
        <w:rPr>
          <w:rFonts w:cstheme="minorHAnsi"/>
        </w:rPr>
        <w:t>waste in Kenya.</w:t>
      </w:r>
    </w:p>
    <w:p w14:paraId="2E2849A0" w14:textId="77777777" w:rsidR="00D70D43" w:rsidRPr="00554AB1" w:rsidRDefault="00D70D43" w:rsidP="00D70D43">
      <w:pPr>
        <w:keepNext/>
        <w:ind w:left="-432" w:right="-432"/>
        <w:mirrorIndents/>
        <w:rPr>
          <w:rFonts w:eastAsia="Calibri" w:cstheme="minorHAnsi"/>
          <w:i/>
          <w:noProof/>
        </w:rPr>
      </w:pPr>
    </w:p>
    <w:p w14:paraId="5A9D4DF3" w14:textId="77777777" w:rsidR="00D70D43" w:rsidRPr="00554AB1" w:rsidRDefault="00D70D43" w:rsidP="00D70D43">
      <w:pPr>
        <w:keepNext/>
        <w:ind w:left="-432" w:right="-432"/>
        <w:mirrorIndents/>
        <w:rPr>
          <w:rFonts w:eastAsia="Calibri" w:cstheme="minorHAnsi"/>
          <w:b/>
          <w:bCs/>
        </w:rPr>
      </w:pPr>
      <w:r w:rsidRPr="00554AB1">
        <w:rPr>
          <w:rFonts w:eastAsia="Calibri" w:cstheme="minorHAnsi"/>
          <w:b/>
          <w:bCs/>
        </w:rPr>
        <w:t>PDO Level Indicators</w:t>
      </w:r>
    </w:p>
    <w:p w14:paraId="5FC44069"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bCs/>
        </w:rPr>
      </w:pPr>
      <w:r w:rsidRPr="00554AB1">
        <w:rPr>
          <w:rFonts w:cstheme="minorHAnsi"/>
          <w:noProof/>
        </w:rPr>
        <w:t>The following PDO indicators are proposed, disaggregated by country:</w:t>
      </w:r>
    </w:p>
    <w:p w14:paraId="06E7F3E2"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noProof/>
        </w:rPr>
        <w:t xml:space="preserve">Exposure to uPOPs pollution from open burning of hazardous waste including </w:t>
      </w:r>
      <w:r w:rsidRPr="00554AB1">
        <w:rPr>
          <w:rFonts w:cstheme="minorHAnsi"/>
        </w:rPr>
        <w:t xml:space="preserve">e-waste </w:t>
      </w:r>
      <w:r w:rsidRPr="00554AB1">
        <w:rPr>
          <w:rFonts w:cstheme="minorHAnsi"/>
          <w:noProof/>
        </w:rPr>
        <w:t xml:space="preserve">reduced at pilot sites (Percentage); </w:t>
      </w:r>
    </w:p>
    <w:p w14:paraId="0B83E29F"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rPr>
      </w:pPr>
      <w:r w:rsidRPr="00554AB1">
        <w:rPr>
          <w:rFonts w:cstheme="minorHAnsi"/>
          <w:noProof/>
        </w:rPr>
        <w:t xml:space="preserve">Knowledge products on mercury and uPOPs management </w:t>
      </w:r>
      <w:r w:rsidRPr="00554AB1">
        <w:rPr>
          <w:rFonts w:cstheme="minorHAnsi"/>
        </w:rPr>
        <w:t xml:space="preserve">designed and </w:t>
      </w:r>
      <w:r w:rsidRPr="00554AB1">
        <w:rPr>
          <w:rFonts w:cstheme="minorHAnsi"/>
          <w:noProof/>
        </w:rPr>
        <w:t>disseminated</w:t>
      </w:r>
      <w:r w:rsidRPr="00554AB1">
        <w:rPr>
          <w:rFonts w:cstheme="minorHAnsi"/>
        </w:rPr>
        <w:t xml:space="preserve"> </w:t>
      </w:r>
      <w:bookmarkStart w:id="31" w:name="_Hlk27070986"/>
      <w:r w:rsidRPr="00554AB1">
        <w:rPr>
          <w:rFonts w:cstheme="minorHAnsi"/>
        </w:rPr>
        <w:t>(Number</w:t>
      </w:r>
      <w:bookmarkEnd w:id="31"/>
      <w:r w:rsidRPr="00554AB1">
        <w:rPr>
          <w:rFonts w:cstheme="minorHAnsi"/>
          <w:noProof/>
        </w:rPr>
        <w:t xml:space="preserve">); </w:t>
      </w:r>
    </w:p>
    <w:p w14:paraId="5D99A61B"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bookmarkStart w:id="32" w:name="_Hlk27070998"/>
      <w:r w:rsidRPr="00554AB1">
        <w:rPr>
          <w:rFonts w:cstheme="minorHAnsi"/>
          <w:noProof/>
        </w:rPr>
        <w:t xml:space="preserve">Policy interventions on mercury and </w:t>
      </w:r>
      <w:r w:rsidRPr="00554AB1">
        <w:rPr>
          <w:rFonts w:cstheme="minorHAnsi"/>
        </w:rPr>
        <w:t xml:space="preserve">e-waste management (including </w:t>
      </w:r>
      <w:proofErr w:type="spellStart"/>
      <w:r w:rsidRPr="00554AB1">
        <w:rPr>
          <w:rFonts w:cstheme="minorHAnsi"/>
        </w:rPr>
        <w:t>uPOPs</w:t>
      </w:r>
      <w:proofErr w:type="spellEnd"/>
      <w:r w:rsidRPr="00554AB1">
        <w:rPr>
          <w:rFonts w:cstheme="minorHAnsi"/>
        </w:rPr>
        <w:t xml:space="preserve"> emissions) designed and consulted (Number)</w:t>
      </w:r>
      <w:r w:rsidRPr="00554AB1">
        <w:rPr>
          <w:rFonts w:cstheme="minorHAnsi"/>
          <w:noProof/>
        </w:rPr>
        <w:t xml:space="preserve">; </w:t>
      </w:r>
    </w:p>
    <w:p w14:paraId="6A864A6C"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Piloting of best environmental practices and cleaner technologies to help countries meet their Stockholm and Minamata Convention obligations completed and evaluated (Number);</w:t>
      </w:r>
    </w:p>
    <w:p w14:paraId="3CE211A9"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 xml:space="preserve">Mercury use in ASGM reduced at pilot sites; </w:t>
      </w:r>
    </w:p>
    <w:p w14:paraId="47CC66F9"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bCs/>
        </w:rPr>
        <w:t xml:space="preserve">Exposure to </w:t>
      </w:r>
      <w:proofErr w:type="spellStart"/>
      <w:r w:rsidRPr="00554AB1">
        <w:rPr>
          <w:rFonts w:cstheme="minorHAnsi"/>
          <w:bCs/>
        </w:rPr>
        <w:t>uPOPs</w:t>
      </w:r>
      <w:proofErr w:type="spellEnd"/>
      <w:r w:rsidRPr="00554AB1">
        <w:rPr>
          <w:rFonts w:cstheme="minorHAnsi"/>
          <w:bCs/>
        </w:rPr>
        <w:t xml:space="preserve"> pollution from open burning of hazardous waste including e-waste reduced at pilot sites (Percentage);</w:t>
      </w:r>
    </w:p>
    <w:p w14:paraId="07972B7D"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noProof/>
        </w:rPr>
        <w:t>Stakeholder outreach events completed (Number).</w:t>
      </w:r>
    </w:p>
    <w:p w14:paraId="4D6C0365" w14:textId="77777777" w:rsidR="00D70D43" w:rsidRPr="00554AB1" w:rsidRDefault="00D70D43" w:rsidP="00D70D43">
      <w:pPr>
        <w:jc w:val="both"/>
        <w:rPr>
          <w:rFonts w:cstheme="minorHAnsi"/>
          <w:bCs/>
        </w:rPr>
      </w:pPr>
    </w:p>
    <w:p w14:paraId="43CB213E"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bCs/>
        </w:rPr>
      </w:pPr>
      <w:r w:rsidRPr="00554AB1">
        <w:rPr>
          <w:rFonts w:cstheme="minorHAnsi"/>
        </w:rPr>
        <w:t>The following intermediate indicators are proposed:</w:t>
      </w:r>
    </w:p>
    <w:p w14:paraId="62C72269" w14:textId="77777777" w:rsidR="00D70D43" w:rsidRPr="00554AB1" w:rsidRDefault="00D70D43" w:rsidP="00D70D43">
      <w:pPr>
        <w:pStyle w:val="ListParagraph"/>
        <w:ind w:left="0"/>
        <w:jc w:val="both"/>
        <w:rPr>
          <w:rFonts w:cstheme="minorHAnsi"/>
          <w:bCs/>
        </w:rPr>
      </w:pPr>
      <w:r w:rsidRPr="00554AB1">
        <w:rPr>
          <w:rFonts w:cstheme="minorHAnsi"/>
          <w:u w:val="single"/>
        </w:rPr>
        <w:t>Component 1</w:t>
      </w:r>
    </w:p>
    <w:p w14:paraId="0C7FFCA6"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 xml:space="preserve">E-waste management and mercury use benchmarked in participating countries (volume/Mt) through the regional platform; </w:t>
      </w:r>
    </w:p>
    <w:p w14:paraId="250C325D"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rPr>
      </w:pPr>
      <w:r w:rsidRPr="00554AB1">
        <w:rPr>
          <w:rFonts w:cstheme="minorHAnsi"/>
        </w:rPr>
        <w:t xml:space="preserve">Trained inspection officers (Number trained, % of participants women); </w:t>
      </w:r>
      <w:bookmarkEnd w:id="32"/>
    </w:p>
    <w:p w14:paraId="5FF4ED41"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Communities involved in planning, implementation and evaluation of demonstration pilots (Number);</w:t>
      </w:r>
    </w:p>
    <w:p w14:paraId="523EBDCA" w14:textId="77777777" w:rsidR="00D70D43" w:rsidRPr="00554AB1" w:rsidRDefault="00D70D43" w:rsidP="00D70D43">
      <w:pPr>
        <w:pStyle w:val="ListParagraph"/>
        <w:ind w:left="0"/>
        <w:jc w:val="both"/>
        <w:rPr>
          <w:rFonts w:cstheme="minorHAnsi"/>
          <w:bCs/>
        </w:rPr>
      </w:pPr>
      <w:r w:rsidRPr="00554AB1">
        <w:rPr>
          <w:rFonts w:cstheme="minorHAnsi"/>
          <w:u w:val="single"/>
        </w:rPr>
        <w:t>Component 2</w:t>
      </w:r>
    </w:p>
    <w:p w14:paraId="4C03CCCB"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rPr>
      </w:pPr>
      <w:r w:rsidRPr="00554AB1">
        <w:rPr>
          <w:rFonts w:cstheme="minorHAnsi"/>
          <w:bCs/>
        </w:rPr>
        <w:t>Guidelines and checklists for stakeholders and workers developed (</w:t>
      </w:r>
      <w:r w:rsidRPr="00554AB1">
        <w:rPr>
          <w:rFonts w:cstheme="minorHAnsi"/>
        </w:rPr>
        <w:t>Yes/No)</w:t>
      </w:r>
    </w:p>
    <w:p w14:paraId="48D45C7D"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Stakeholder communication strategy developed (Yes/No);</w:t>
      </w:r>
    </w:p>
    <w:p w14:paraId="15ED11F6" w14:textId="77777777" w:rsidR="00D70D43" w:rsidRPr="00554AB1" w:rsidRDefault="00D70D43" w:rsidP="00D70D43">
      <w:pPr>
        <w:pStyle w:val="ListParagraph"/>
        <w:ind w:left="0"/>
        <w:jc w:val="both"/>
        <w:rPr>
          <w:rFonts w:cstheme="minorHAnsi"/>
          <w:bCs/>
        </w:rPr>
      </w:pPr>
      <w:r w:rsidRPr="00554AB1">
        <w:rPr>
          <w:rFonts w:cstheme="minorHAnsi"/>
          <w:u w:val="single"/>
        </w:rPr>
        <w:t>Component 3</w:t>
      </w:r>
    </w:p>
    <w:p w14:paraId="42D6C915"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Training events for relevant stakeholders conducted (Number);</w:t>
      </w:r>
    </w:p>
    <w:p w14:paraId="44ED05BE" w14:textId="77777777" w:rsidR="00D70D43" w:rsidRPr="00554AB1" w:rsidRDefault="00D70D43" w:rsidP="002E38A2">
      <w:pPr>
        <w:pStyle w:val="ListParagraph"/>
        <w:widowControl w:val="0"/>
        <w:numPr>
          <w:ilvl w:val="1"/>
          <w:numId w:val="2"/>
        </w:numPr>
        <w:autoSpaceDE w:val="0"/>
        <w:autoSpaceDN w:val="0"/>
        <w:adjustRightInd w:val="0"/>
        <w:spacing w:after="0" w:line="240" w:lineRule="auto"/>
        <w:jc w:val="both"/>
        <w:rPr>
          <w:rFonts w:cstheme="minorHAnsi"/>
          <w:bCs/>
        </w:rPr>
      </w:pPr>
      <w:r w:rsidRPr="00554AB1">
        <w:rPr>
          <w:rFonts w:cstheme="minorHAnsi"/>
        </w:rPr>
        <w:t>Private sector in selected e-waste pilot project sites engaged (Yes/No);</w:t>
      </w:r>
    </w:p>
    <w:p w14:paraId="54021F11" w14:textId="77777777" w:rsidR="00D70D43" w:rsidRPr="00554AB1" w:rsidRDefault="00D70D43" w:rsidP="00D70D43">
      <w:pPr>
        <w:keepNext/>
        <w:ind w:left="2862"/>
        <w:mirrorIndents/>
        <w:rPr>
          <w:rFonts w:eastAsia="Times New Roman" w:cstheme="minorHAnsi"/>
          <w:bCs/>
        </w:rPr>
      </w:pPr>
    </w:p>
    <w:p w14:paraId="706EAF3B" w14:textId="77777777" w:rsidR="00D70D43" w:rsidRPr="00554AB1" w:rsidRDefault="00D70D43" w:rsidP="00D70D43">
      <w:pPr>
        <w:tabs>
          <w:tab w:val="left" w:pos="0"/>
        </w:tabs>
        <w:ind w:right="-432"/>
        <w:mirrorIndents/>
        <w:jc w:val="both"/>
        <w:rPr>
          <w:rFonts w:eastAsia="Times New Roman" w:cstheme="minorHAnsi"/>
        </w:rPr>
      </w:pPr>
    </w:p>
    <w:p w14:paraId="61456564"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B – Project Components</w:t>
      </w:r>
    </w:p>
    <w:p w14:paraId="3E4F8A04" w14:textId="77777777" w:rsidR="00D70D43" w:rsidRPr="00554AB1" w:rsidRDefault="00D70D43" w:rsidP="00D70D43">
      <w:pPr>
        <w:tabs>
          <w:tab w:val="left" w:pos="0"/>
        </w:tabs>
        <w:ind w:left="-432" w:right="-432"/>
        <w:mirrorIndents/>
        <w:jc w:val="both"/>
        <w:rPr>
          <w:rFonts w:eastAsia="Times New Roman" w:cstheme="minorHAnsi"/>
        </w:rPr>
      </w:pPr>
    </w:p>
    <w:p w14:paraId="0C6E8962"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lastRenderedPageBreak/>
        <w:t xml:space="preserve">The project comprises four components, as described in the following paragraphs. Kenya specific project will focus on the following components in line with the overarching regional program. </w:t>
      </w:r>
      <w:bookmarkStart w:id="33" w:name="_Hlk531092690"/>
    </w:p>
    <w:p w14:paraId="0799247C" w14:textId="77777777" w:rsidR="00D70D43" w:rsidRPr="00554AB1" w:rsidRDefault="00D70D43" w:rsidP="00D70D43">
      <w:pPr>
        <w:pStyle w:val="ListParagraph"/>
        <w:ind w:left="3"/>
        <w:jc w:val="both"/>
        <w:rPr>
          <w:rFonts w:cstheme="minorHAnsi"/>
        </w:rPr>
      </w:pPr>
    </w:p>
    <w:p w14:paraId="19195F26"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b/>
        </w:rPr>
        <w:t>Component 1: Institutional strengthening, knowledge and capacity building (US$ 1.</w:t>
      </w:r>
      <w:r w:rsidRPr="00554AB1">
        <w:rPr>
          <w:rFonts w:eastAsia="Times New Roman" w:cstheme="minorHAnsi"/>
          <w:b/>
          <w:bCs/>
        </w:rPr>
        <w:t>9</w:t>
      </w:r>
      <w:r w:rsidRPr="00554AB1">
        <w:rPr>
          <w:rFonts w:cstheme="minorHAnsi"/>
          <w:b/>
        </w:rPr>
        <w:t xml:space="preserve"> m GEF). </w:t>
      </w:r>
      <w:r w:rsidRPr="00554AB1">
        <w:rPr>
          <w:rFonts w:cstheme="minorHAnsi"/>
        </w:rPr>
        <w:t xml:space="preserve">Component 1 will support capacity building activities which include benchmarking of key NEMA staff to acquire best practices on waste management for reduction of releases of POPs from unsound e-waste management practices, and ensure appropriate skills transfer;  sensitization workshops on waste management, including e-waste, with EEE and E-waste management stakeholders in the value chain country-wide; support to NEMA staff supporting waste and e-waste management regulations; and streamlining Customs coding with appropriate training of the Customs and borders inspectorate to curtail entry of illicit e-waste in the first place. In addition, the component will ensure both national level </w:t>
      </w:r>
      <w:proofErr w:type="gramStart"/>
      <w:r w:rsidRPr="00554AB1">
        <w:rPr>
          <w:rFonts w:cstheme="minorHAnsi"/>
        </w:rPr>
        <w:t>stakeholders</w:t>
      </w:r>
      <w:proofErr w:type="gramEnd"/>
      <w:r w:rsidRPr="00554AB1">
        <w:rPr>
          <w:rFonts w:cstheme="minorHAnsi"/>
        </w:rPr>
        <w:t xml:space="preserve"> coordination and participation in the regional learning and knowledge sharing activities on the harmful chemicals agenda. This will contribute to strengthening the regional partnerships and collaboration.</w:t>
      </w:r>
      <w:bookmarkStart w:id="34" w:name="_Hlk531016954"/>
    </w:p>
    <w:p w14:paraId="7D63EDD2" w14:textId="77777777" w:rsidR="00D70D43" w:rsidRPr="00554AB1" w:rsidRDefault="00D70D43" w:rsidP="00D70D43">
      <w:pPr>
        <w:pStyle w:val="ListParagraph"/>
        <w:rPr>
          <w:rFonts w:cstheme="minorHAnsi"/>
        </w:rPr>
      </w:pPr>
    </w:p>
    <w:p w14:paraId="7DA79A41" w14:textId="77777777" w:rsidR="00D70D43" w:rsidRPr="00554AB1" w:rsidRDefault="00D70D43" w:rsidP="002E38A2">
      <w:pPr>
        <w:pStyle w:val="ListParagraph"/>
        <w:widowControl w:val="0"/>
        <w:numPr>
          <w:ilvl w:val="0"/>
          <w:numId w:val="21"/>
        </w:numPr>
        <w:autoSpaceDE w:val="0"/>
        <w:autoSpaceDN w:val="0"/>
        <w:adjustRightInd w:val="0"/>
        <w:spacing w:after="0" w:line="240" w:lineRule="auto"/>
        <w:jc w:val="both"/>
        <w:rPr>
          <w:rFonts w:cstheme="minorHAnsi"/>
        </w:rPr>
      </w:pPr>
      <w:r w:rsidRPr="00554AB1">
        <w:rPr>
          <w:rFonts w:cstheme="minorHAnsi"/>
        </w:rPr>
        <w:t>Component 1 will also support strengthening environmentally sound management of e-waste regulations and guidelines and development of systems for monitoring and enforcement, relevant to waste management with a focus on e-waste. The component will also review existing documentation and undertake a country-wise situation analysis on waste, including inventory of major toxic pollutants emanating from the sector; assessment of environmental health implications of harmful chemicals and waste and options for risk management; and economic analysis of the waste management sector for the national economy. Scope of activities proposed under Component 1 includes:</w:t>
      </w:r>
      <w:bookmarkEnd w:id="34"/>
    </w:p>
    <w:p w14:paraId="21D5B151" w14:textId="77777777" w:rsidR="00D70D43" w:rsidRPr="00554AB1" w:rsidRDefault="00D70D43" w:rsidP="00D70D43">
      <w:pPr>
        <w:ind w:left="720"/>
        <w:contextualSpacing/>
        <w:rPr>
          <w:rFonts w:cstheme="minorHAnsi"/>
        </w:rPr>
      </w:pPr>
    </w:p>
    <w:p w14:paraId="1E003417"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Capacity building of NEMA staff to acquire best practices on waste management and Best Available Technologies for dissemination for reduction of releases of Persistent Organic Pollutants from unsound e-waste management practices and ensure appropriate skills and knowledge transfer.</w:t>
      </w:r>
    </w:p>
    <w:p w14:paraId="08DB0AA9" w14:textId="77777777" w:rsidR="00D70D43" w:rsidRPr="00554AB1" w:rsidRDefault="00D70D43" w:rsidP="00D70D43">
      <w:pPr>
        <w:ind w:left="720"/>
        <w:contextualSpacing/>
        <w:rPr>
          <w:rFonts w:cstheme="minorHAnsi"/>
        </w:rPr>
      </w:pPr>
    </w:p>
    <w:p w14:paraId="5634A0A1"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Review of existing efforts to develop a national e-waste inventory of products and IT vendors and subsequently identify a robust solution to support sustainable management of electronic waste from collection to disassembly to waste reduction and reuse. The review will commence with stakeholder mapping, including private sector and informal recycling sector stakeholders.</w:t>
      </w:r>
    </w:p>
    <w:p w14:paraId="3C0312E9" w14:textId="77777777" w:rsidR="00D70D43" w:rsidRPr="00554AB1" w:rsidRDefault="00D70D43" w:rsidP="00D70D43">
      <w:pPr>
        <w:ind w:left="720"/>
        <w:contextualSpacing/>
        <w:rPr>
          <w:rFonts w:cstheme="minorHAnsi"/>
        </w:rPr>
      </w:pPr>
    </w:p>
    <w:p w14:paraId="5CF946FD"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Development of guidelines and monitoring protocols on waste management, including e-waste and hazardous waste resulting from electronic waste for EEE and E-waste management stakeholders in the value chain country-wide</w:t>
      </w:r>
    </w:p>
    <w:p w14:paraId="622549A6" w14:textId="77777777" w:rsidR="00D70D43" w:rsidRPr="00554AB1" w:rsidRDefault="00D70D43" w:rsidP="00D70D43">
      <w:pPr>
        <w:ind w:left="720"/>
        <w:contextualSpacing/>
        <w:rPr>
          <w:rFonts w:cstheme="minorHAnsi"/>
        </w:rPr>
      </w:pPr>
    </w:p>
    <w:p w14:paraId="4B875B2B"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 xml:space="preserve">Institutional strengthening of the Ministry of Environment and Forests, NEMA and customs officers to support implementation and enforcement of e-waste management regulations and laws including at the port of entry. This will include training on best practices and technologies for reduction of POP releases related to e-waste. </w:t>
      </w:r>
    </w:p>
    <w:p w14:paraId="22C14FBF" w14:textId="77777777" w:rsidR="00D70D43" w:rsidRPr="00554AB1" w:rsidRDefault="00D70D43" w:rsidP="00D70D43">
      <w:pPr>
        <w:ind w:left="720"/>
        <w:contextualSpacing/>
        <w:rPr>
          <w:rFonts w:cstheme="minorHAnsi"/>
        </w:rPr>
      </w:pPr>
    </w:p>
    <w:p w14:paraId="6D1D2508"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t>Streamlining customs coding with appropriate training of the Customs and borders inspectorate to curtail entry of e-waste dumping as provided in Basel Convention on Trans boundary movement of hazardous waste and other waste.</w:t>
      </w:r>
    </w:p>
    <w:p w14:paraId="12228B29" w14:textId="77777777" w:rsidR="00D70D43" w:rsidRPr="00554AB1" w:rsidRDefault="00D70D43" w:rsidP="00D70D43">
      <w:pPr>
        <w:ind w:left="720"/>
        <w:contextualSpacing/>
        <w:rPr>
          <w:rFonts w:cstheme="minorHAnsi"/>
        </w:rPr>
      </w:pPr>
    </w:p>
    <w:p w14:paraId="5241630F" w14:textId="77777777" w:rsidR="00D70D43" w:rsidRPr="00554AB1" w:rsidRDefault="00D70D43" w:rsidP="002E38A2">
      <w:pPr>
        <w:widowControl w:val="0"/>
        <w:numPr>
          <w:ilvl w:val="1"/>
          <w:numId w:val="22"/>
        </w:numPr>
        <w:autoSpaceDE w:val="0"/>
        <w:autoSpaceDN w:val="0"/>
        <w:adjustRightInd w:val="0"/>
        <w:spacing w:after="0" w:line="240" w:lineRule="auto"/>
        <w:ind w:left="360"/>
        <w:contextualSpacing/>
        <w:jc w:val="both"/>
        <w:rPr>
          <w:rFonts w:cstheme="minorHAnsi"/>
          <w:b/>
        </w:rPr>
      </w:pPr>
      <w:r w:rsidRPr="00554AB1">
        <w:rPr>
          <w:rFonts w:cstheme="minorHAnsi"/>
        </w:rPr>
        <w:lastRenderedPageBreak/>
        <w:t xml:space="preserve">Facilitate the national level stakeholders for coordination and participation in the regional learning and knowledge sharing activities on the harmful </w:t>
      </w:r>
      <w:proofErr w:type="gramStart"/>
      <w:r w:rsidRPr="00554AB1">
        <w:rPr>
          <w:rFonts w:cstheme="minorHAnsi"/>
        </w:rPr>
        <w:t>chemicals</w:t>
      </w:r>
      <w:proofErr w:type="gramEnd"/>
      <w:r w:rsidRPr="00554AB1">
        <w:rPr>
          <w:rFonts w:cstheme="minorHAnsi"/>
        </w:rPr>
        <w:t xml:space="preserve"> agenda.</w:t>
      </w:r>
    </w:p>
    <w:p w14:paraId="31821503" w14:textId="77777777" w:rsidR="00D70D43" w:rsidRPr="00554AB1" w:rsidRDefault="00D70D43" w:rsidP="00D70D43">
      <w:pPr>
        <w:pStyle w:val="ListParagraph"/>
        <w:rPr>
          <w:rFonts w:cstheme="minorHAnsi"/>
        </w:rPr>
      </w:pPr>
    </w:p>
    <w:p w14:paraId="666CD068" w14:textId="77777777" w:rsidR="00D70D43" w:rsidRPr="00554AB1" w:rsidRDefault="00D70D43" w:rsidP="002E38A2">
      <w:pPr>
        <w:widowControl w:val="0"/>
        <w:numPr>
          <w:ilvl w:val="0"/>
          <w:numId w:val="21"/>
        </w:numPr>
        <w:autoSpaceDE w:val="0"/>
        <w:autoSpaceDN w:val="0"/>
        <w:adjustRightInd w:val="0"/>
        <w:spacing w:after="0" w:line="240" w:lineRule="auto"/>
        <w:contextualSpacing/>
        <w:jc w:val="both"/>
        <w:rPr>
          <w:rFonts w:cstheme="minorHAnsi"/>
        </w:rPr>
      </w:pPr>
      <w:r w:rsidRPr="00554AB1">
        <w:rPr>
          <w:rFonts w:cstheme="minorHAnsi"/>
        </w:rPr>
        <w:t xml:space="preserve">Capacity building will include strengthening the capacity to monitor; screen and evaluate health and environmental risks associated with e-waste and related </w:t>
      </w:r>
      <w:proofErr w:type="spellStart"/>
      <w:r w:rsidRPr="00554AB1">
        <w:rPr>
          <w:rFonts w:cstheme="minorHAnsi"/>
        </w:rPr>
        <w:t>uPOPs</w:t>
      </w:r>
      <w:proofErr w:type="spellEnd"/>
      <w:r w:rsidRPr="00554AB1">
        <w:rPr>
          <w:rFonts w:cstheme="minorHAnsi"/>
        </w:rPr>
        <w:t xml:space="preserve"> releases.</w:t>
      </w:r>
    </w:p>
    <w:p w14:paraId="77840816" w14:textId="77777777" w:rsidR="00D70D43" w:rsidRPr="00554AB1" w:rsidRDefault="00D70D43" w:rsidP="00D70D43">
      <w:pPr>
        <w:ind w:left="3"/>
        <w:contextualSpacing/>
        <w:jc w:val="both"/>
        <w:rPr>
          <w:rFonts w:cstheme="minorHAnsi"/>
        </w:rPr>
      </w:pPr>
    </w:p>
    <w:p w14:paraId="1F3719D2" w14:textId="77777777" w:rsidR="00D70D43" w:rsidRPr="00554AB1" w:rsidRDefault="00D70D43" w:rsidP="002E38A2">
      <w:pPr>
        <w:widowControl w:val="0"/>
        <w:numPr>
          <w:ilvl w:val="0"/>
          <w:numId w:val="21"/>
        </w:numPr>
        <w:autoSpaceDE w:val="0"/>
        <w:autoSpaceDN w:val="0"/>
        <w:adjustRightInd w:val="0"/>
        <w:spacing w:after="0" w:line="240" w:lineRule="auto"/>
        <w:contextualSpacing/>
        <w:jc w:val="both"/>
        <w:rPr>
          <w:rFonts w:cstheme="minorHAnsi"/>
        </w:rPr>
      </w:pPr>
      <w:r w:rsidRPr="00554AB1">
        <w:rPr>
          <w:rFonts w:cstheme="minorHAnsi"/>
        </w:rPr>
        <w:t>There are existing regional entities that the program will leverage to further enhance the national level interventions. These include the Regional Economic Communities (REC) such as COMESA, SADC, and East African Community (EAC), with its EAC Health Research Commission to support such regional harmonization, thereby strengthening national and regional systems to enforce regulations and manage illegal trade flows. The RECs, based on their sustainability commitments, provide an opportune platform to promote experience-sharing and harmonization of appropriate policies and dissemination of good practices and lessons learned through development of environmental management systems that not only address production processes but also promote waste minimization, treatment and disposal.</w:t>
      </w:r>
      <w:bookmarkStart w:id="35" w:name="_Hlk531095773"/>
      <w:bookmarkEnd w:id="33"/>
    </w:p>
    <w:p w14:paraId="1FE66170" w14:textId="77777777" w:rsidR="00D70D43" w:rsidRPr="00554AB1" w:rsidRDefault="00D70D43" w:rsidP="00D70D43">
      <w:pPr>
        <w:pStyle w:val="ListParagraph"/>
        <w:rPr>
          <w:rFonts w:cstheme="minorHAnsi"/>
          <w:b/>
        </w:rPr>
      </w:pPr>
    </w:p>
    <w:p w14:paraId="6434B87D" w14:textId="77777777" w:rsidR="00D70D43" w:rsidRPr="00554AB1" w:rsidRDefault="00D70D43" w:rsidP="002E38A2">
      <w:pPr>
        <w:widowControl w:val="0"/>
        <w:numPr>
          <w:ilvl w:val="0"/>
          <w:numId w:val="21"/>
        </w:numPr>
        <w:autoSpaceDE w:val="0"/>
        <w:autoSpaceDN w:val="0"/>
        <w:adjustRightInd w:val="0"/>
        <w:spacing w:after="0" w:line="240" w:lineRule="auto"/>
        <w:contextualSpacing/>
        <w:jc w:val="both"/>
        <w:rPr>
          <w:rFonts w:cstheme="minorHAnsi"/>
        </w:rPr>
      </w:pPr>
      <w:r w:rsidRPr="00554AB1">
        <w:rPr>
          <w:rFonts w:cstheme="minorHAnsi"/>
          <w:b/>
        </w:rPr>
        <w:t>Component 2: Support for policy dialogue and regulatory enhancements (US$ 1.8 m GEF).</w:t>
      </w:r>
      <w:r w:rsidRPr="00554AB1">
        <w:rPr>
          <w:rFonts w:cstheme="minorHAnsi"/>
        </w:rPr>
        <w:t xml:space="preserve"> The component will support Government’s efforts in strengthening the current environmental policies and regulations and capacity to monitor; screen and evaluate health and environmental risks associated with e-waste. The component will assist development of strategy for promoting the reduction of emissions and releases of, and exposure to, harmful chemicals and hazardous waste. Such a strategy would include gathering of health data, training for health-care workers and awareness-raising through health facilities. Particular attention will be taken to prevent the exposure of vulnerable populations, particularly children and women of child-bearing age, especially pregnant women, to harmful chemicals and dissemination of information to different actors and affected communities. Activities to be finances under Component 2 include:</w:t>
      </w:r>
    </w:p>
    <w:p w14:paraId="55967318" w14:textId="77777777" w:rsidR="00D70D43" w:rsidRPr="00554AB1" w:rsidRDefault="00D70D43" w:rsidP="00D70D43">
      <w:pPr>
        <w:ind w:left="720"/>
        <w:contextualSpacing/>
        <w:rPr>
          <w:rFonts w:cstheme="minorHAnsi"/>
        </w:rPr>
      </w:pPr>
    </w:p>
    <w:p w14:paraId="07CA37D7" w14:textId="77777777" w:rsidR="00D70D43" w:rsidRPr="00554AB1" w:rsidRDefault="00D70D43" w:rsidP="002E38A2">
      <w:pPr>
        <w:widowControl w:val="0"/>
        <w:numPr>
          <w:ilvl w:val="0"/>
          <w:numId w:val="23"/>
        </w:numPr>
        <w:tabs>
          <w:tab w:val="left" w:pos="810"/>
        </w:tabs>
        <w:autoSpaceDE w:val="0"/>
        <w:autoSpaceDN w:val="0"/>
        <w:adjustRightInd w:val="0"/>
        <w:spacing w:after="0" w:line="240" w:lineRule="auto"/>
        <w:ind w:left="810" w:hanging="90"/>
        <w:contextualSpacing/>
        <w:mirrorIndents/>
        <w:jc w:val="both"/>
        <w:rPr>
          <w:rFonts w:cstheme="minorHAnsi"/>
        </w:rPr>
      </w:pPr>
      <w:r w:rsidRPr="00554AB1">
        <w:rPr>
          <w:rFonts w:cstheme="minorHAnsi"/>
        </w:rPr>
        <w:t xml:space="preserve">The component will support finalization of E-waste management regulation and </w:t>
      </w:r>
      <w:proofErr w:type="gramStart"/>
      <w:r w:rsidRPr="00554AB1">
        <w:rPr>
          <w:rFonts w:cstheme="minorHAnsi"/>
        </w:rPr>
        <w:t>it</w:t>
      </w:r>
      <w:proofErr w:type="gramEnd"/>
      <w:r w:rsidRPr="00554AB1">
        <w:rPr>
          <w:rFonts w:cstheme="minorHAnsi"/>
        </w:rPr>
        <w:t xml:space="preserve"> subsequent dissemination and adoption by selected county governments. </w:t>
      </w:r>
    </w:p>
    <w:p w14:paraId="73CCD798" w14:textId="77777777" w:rsidR="00D70D43" w:rsidRPr="00554AB1" w:rsidRDefault="00D70D43" w:rsidP="00D70D43">
      <w:pPr>
        <w:ind w:left="720" w:hanging="720"/>
        <w:contextualSpacing/>
        <w:rPr>
          <w:rFonts w:cstheme="minorHAnsi"/>
        </w:rPr>
      </w:pPr>
    </w:p>
    <w:p w14:paraId="1477CDAB" w14:textId="77777777" w:rsidR="00D70D43" w:rsidRPr="00554AB1" w:rsidRDefault="00D70D43" w:rsidP="002E38A2">
      <w:pPr>
        <w:widowControl w:val="0"/>
        <w:numPr>
          <w:ilvl w:val="0"/>
          <w:numId w:val="23"/>
        </w:numPr>
        <w:autoSpaceDE w:val="0"/>
        <w:autoSpaceDN w:val="0"/>
        <w:adjustRightInd w:val="0"/>
        <w:spacing w:after="0" w:line="240" w:lineRule="auto"/>
        <w:contextualSpacing/>
        <w:mirrorIndents/>
        <w:jc w:val="both"/>
        <w:rPr>
          <w:rFonts w:cstheme="minorHAnsi"/>
        </w:rPr>
      </w:pPr>
      <w:r w:rsidRPr="00554AB1">
        <w:rPr>
          <w:rFonts w:cstheme="minorHAnsi"/>
        </w:rPr>
        <w:t>Review the current environmental policies and regulations and capacity to identify strengthening measures to monitor the flow of e-waste throughout their life cycle. Regulatory enhancements for Environmental and Social management will include assistance to strengthen existing legislations with respect to recycling and disposal; financing system for e-waste recycling and disposal (possibly through a prepaid fee, producer responsibility etc.); use of cleaner technologies (dismantling and recycling); and development of communication strategy for awareness raising and information dissemination.</w:t>
      </w:r>
    </w:p>
    <w:p w14:paraId="5319DEE1" w14:textId="77777777" w:rsidR="00D70D43" w:rsidRPr="00554AB1" w:rsidRDefault="00D70D43" w:rsidP="00D70D43">
      <w:pPr>
        <w:ind w:left="720" w:hanging="720"/>
        <w:contextualSpacing/>
        <w:rPr>
          <w:rFonts w:cstheme="minorHAnsi"/>
        </w:rPr>
      </w:pPr>
    </w:p>
    <w:p w14:paraId="22883BB3" w14:textId="77777777" w:rsidR="00D70D43" w:rsidRPr="00554AB1" w:rsidRDefault="00D70D43" w:rsidP="002E38A2">
      <w:pPr>
        <w:widowControl w:val="0"/>
        <w:numPr>
          <w:ilvl w:val="0"/>
          <w:numId w:val="23"/>
        </w:numPr>
        <w:autoSpaceDE w:val="0"/>
        <w:autoSpaceDN w:val="0"/>
        <w:adjustRightInd w:val="0"/>
        <w:spacing w:after="0" w:line="240" w:lineRule="auto"/>
        <w:contextualSpacing/>
        <w:mirrorIndents/>
        <w:jc w:val="both"/>
        <w:rPr>
          <w:rFonts w:cstheme="minorHAnsi"/>
        </w:rPr>
      </w:pPr>
      <w:r w:rsidRPr="00554AB1">
        <w:rPr>
          <w:rFonts w:cstheme="minorHAnsi"/>
        </w:rPr>
        <w:t>Development of strategy for promoting the reduction of emissions and releases of, and exposure to, harmful chemicals and hazardous waste e.g. collecting healthcare data on e-waste management, training for health-care workers and awareness-raising through health facilities.</w:t>
      </w:r>
    </w:p>
    <w:p w14:paraId="5F671353" w14:textId="77777777" w:rsidR="00D70D43" w:rsidRPr="00554AB1" w:rsidRDefault="00D70D43" w:rsidP="00D70D43">
      <w:pPr>
        <w:ind w:left="720" w:hanging="720"/>
        <w:contextualSpacing/>
        <w:rPr>
          <w:rFonts w:cstheme="minorHAnsi"/>
        </w:rPr>
      </w:pPr>
    </w:p>
    <w:p w14:paraId="105D3411" w14:textId="77777777" w:rsidR="00D70D43" w:rsidRPr="00554AB1" w:rsidRDefault="00D70D43" w:rsidP="002E38A2">
      <w:pPr>
        <w:widowControl w:val="0"/>
        <w:numPr>
          <w:ilvl w:val="0"/>
          <w:numId w:val="23"/>
        </w:numPr>
        <w:autoSpaceDE w:val="0"/>
        <w:autoSpaceDN w:val="0"/>
        <w:adjustRightInd w:val="0"/>
        <w:spacing w:after="0" w:line="240" w:lineRule="auto"/>
        <w:contextualSpacing/>
        <w:mirrorIndents/>
        <w:jc w:val="both"/>
        <w:rPr>
          <w:rFonts w:cstheme="minorHAnsi"/>
        </w:rPr>
      </w:pPr>
      <w:r w:rsidRPr="00554AB1">
        <w:rPr>
          <w:rFonts w:cstheme="minorHAnsi"/>
        </w:rPr>
        <w:t xml:space="preserve">Based on stakeholder engagement under Component 1, the project will support an assessment on inclusion of vulnerable populations, particularly children and women of childbearing age, especially pregnant women, into the government policies. Based on the assessment outcomes, </w:t>
      </w:r>
      <w:r w:rsidRPr="00554AB1">
        <w:rPr>
          <w:rFonts w:cstheme="minorHAnsi"/>
        </w:rPr>
        <w:lastRenderedPageBreak/>
        <w:t xml:space="preserve">develop suitable mechanisms and specific policy level measures to prevent the exposure of these vulnerable populations to harmful chemicals and dissemination of information to different actors and affected communities. </w:t>
      </w:r>
    </w:p>
    <w:p w14:paraId="62A32CA4" w14:textId="77777777" w:rsidR="00D70D43" w:rsidRPr="00554AB1" w:rsidRDefault="00D70D43" w:rsidP="00D70D43">
      <w:pPr>
        <w:pStyle w:val="ListParagraph"/>
        <w:rPr>
          <w:rFonts w:cstheme="minorHAnsi"/>
        </w:rPr>
      </w:pPr>
    </w:p>
    <w:bookmarkEnd w:id="35"/>
    <w:p w14:paraId="28F47FD3"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rPr>
        <w:t>In parallel with finalization of the e-waste management regulation, the project will support development of a national integrated framework for monitoring and evaluation of e-waste for sustainable management to facilitate implementation of the e-waste policy provisions at the county government level</w:t>
      </w:r>
      <w:bookmarkStart w:id="36" w:name="_Hlk531100210"/>
    </w:p>
    <w:p w14:paraId="46D878E0" w14:textId="77777777" w:rsidR="00D70D43" w:rsidRPr="00554AB1" w:rsidRDefault="00D70D43" w:rsidP="00D70D43">
      <w:pPr>
        <w:ind w:left="3"/>
        <w:contextualSpacing/>
        <w:mirrorIndents/>
        <w:jc w:val="both"/>
        <w:rPr>
          <w:rFonts w:cstheme="minorHAnsi"/>
        </w:rPr>
      </w:pPr>
    </w:p>
    <w:p w14:paraId="79A1FE31"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b/>
        </w:rPr>
        <w:t>Component 3: Demonstrating application of technological tools and economic approaches (US$ 3.9 m GEF).</w:t>
      </w:r>
      <w:r w:rsidRPr="00554AB1">
        <w:rPr>
          <w:rFonts w:cstheme="minorHAnsi"/>
        </w:rPr>
        <w:t xml:space="preserve"> This component will support the initiation of a pilot project in selected counties in Kenya on implementation of integrated waste management approach to reduce releases of POPs from e-waste through improving source reduction/reuse, collection, transportation, and disposal/recycling, and following Articles 5 and 6 of the Stockholm Convention and related COP guidelines and guidance. This will start with (a) analysis of the current</w:t>
      </w:r>
      <w:r w:rsidRPr="00554AB1">
        <w:rPr>
          <w:rFonts w:eastAsia="Times New Roman" w:cstheme="minorHAnsi"/>
          <w:bCs/>
        </w:rPr>
        <w:t xml:space="preserve"> management</w:t>
      </w:r>
      <w:r w:rsidRPr="00554AB1">
        <w:rPr>
          <w:rFonts w:cstheme="minorHAnsi"/>
        </w:rPr>
        <w:t xml:space="preserve"> plans, (b) inventory information on toxic substances like PBDEs production, importation and usage and, (c) priorities and institutional capacity (including private sector) for the selected county. Such analysis and inventory will ensure that appropriate solutions are selected, and the basic waste management services are in place and operating, before more advanced approaches are considered. Based on the identified priorities, the infrastructure investments will be designed and implemented, focusing on addressing the gaps in the collection and disposal system. This component will also support piloting e-waste management in selected counties in Kenya – starting with capacity building for all relevant stakeholders in the selected counties (including government, CSOs, and private sector), investment in infrastructure for the entire e-waste management cycle from generation, to collection, transportation, setting up of collection centers or transfer stations and treatment (recycling) facility. It includes developing protocols and methodologies for assessment of environmental health risks associated with e-waste based on health and environmental data, knowledge, risks and impacts. </w:t>
      </w:r>
    </w:p>
    <w:p w14:paraId="56A18F51" w14:textId="77777777" w:rsidR="00D70D43" w:rsidRPr="00554AB1" w:rsidRDefault="00D70D43" w:rsidP="00D70D43">
      <w:pPr>
        <w:ind w:left="3"/>
        <w:contextualSpacing/>
        <w:mirrorIndents/>
        <w:jc w:val="both"/>
        <w:rPr>
          <w:rFonts w:cstheme="minorHAnsi"/>
        </w:rPr>
      </w:pPr>
    </w:p>
    <w:p w14:paraId="0F03F776"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rPr>
        <w:t>This component is aligned with the Kenya Urban Support Program (KUSP) which assists the Government of Kenya in operationalizing its National Urban Development Policy (NUDP) and achieving medium term planning goals in the urban sector. Under this Component EHPMP, in collaboration with KUSP, will identify pilot sites at the county-level to improve health outcomes of e-waste management and will focus on establishing treatment/recycling facility at the site of an already existing waste management facilities. The criteria for selection of the Component 3 demonstration sites will be further detailed in the Project Operational Manual and will be aligned with KUSP Minimum Conditions (as outlined in the KUSP POM) and will meet eligibility criteria, as per the EHPM Project ESMF.</w:t>
      </w:r>
      <w:bookmarkStart w:id="37" w:name="_Hlk531102576"/>
      <w:bookmarkEnd w:id="36"/>
    </w:p>
    <w:p w14:paraId="263925F6" w14:textId="77777777" w:rsidR="00D70D43" w:rsidRPr="00554AB1" w:rsidRDefault="00D70D43" w:rsidP="00D70D43">
      <w:pPr>
        <w:pStyle w:val="ListParagraph"/>
        <w:rPr>
          <w:rFonts w:cstheme="minorHAnsi"/>
          <w:b/>
        </w:rPr>
      </w:pPr>
    </w:p>
    <w:p w14:paraId="79721BC4" w14:textId="77777777" w:rsidR="00D70D43" w:rsidRPr="00554AB1" w:rsidRDefault="00D70D43" w:rsidP="002E38A2">
      <w:pPr>
        <w:widowControl w:val="0"/>
        <w:numPr>
          <w:ilvl w:val="0"/>
          <w:numId w:val="21"/>
        </w:numPr>
        <w:autoSpaceDE w:val="0"/>
        <w:autoSpaceDN w:val="0"/>
        <w:adjustRightInd w:val="0"/>
        <w:spacing w:after="0" w:line="240" w:lineRule="auto"/>
        <w:contextualSpacing/>
        <w:mirrorIndents/>
        <w:jc w:val="both"/>
        <w:rPr>
          <w:rFonts w:cstheme="minorHAnsi"/>
        </w:rPr>
      </w:pPr>
      <w:r w:rsidRPr="00554AB1">
        <w:rPr>
          <w:rFonts w:cstheme="minorHAnsi"/>
          <w:b/>
        </w:rPr>
        <w:t>Component 4: Project coordination and management (US$ 384,447 GEF).</w:t>
      </w:r>
      <w:r w:rsidRPr="00554AB1">
        <w:rPr>
          <w:rFonts w:cstheme="minorHAnsi"/>
        </w:rPr>
        <w:t xml:space="preserve"> This component will provide the resources necessary for effective project coordination and management; monitoring and evaluation at the national, local and regional levels. NEMA will function as the main implementing agency for this project.</w:t>
      </w:r>
      <w:bookmarkEnd w:id="37"/>
    </w:p>
    <w:p w14:paraId="29A02065" w14:textId="77777777" w:rsidR="00D70D43" w:rsidRPr="00554AB1" w:rsidRDefault="00D70D43" w:rsidP="00D70D43">
      <w:pPr>
        <w:contextualSpacing/>
        <w:mirrorIndents/>
        <w:jc w:val="both"/>
        <w:rPr>
          <w:rFonts w:cstheme="minorHAnsi"/>
        </w:rPr>
      </w:pPr>
    </w:p>
    <w:p w14:paraId="7F0795A2" w14:textId="77777777" w:rsidR="00D70D43" w:rsidRPr="00554AB1" w:rsidRDefault="00D70D43" w:rsidP="00D70D43">
      <w:pPr>
        <w:contextualSpacing/>
        <w:mirrorIndents/>
        <w:jc w:val="both"/>
        <w:rPr>
          <w:rFonts w:eastAsia="Times New Roman" w:cstheme="minorHAnsi"/>
          <w:bCs/>
        </w:rPr>
      </w:pPr>
      <w:r w:rsidRPr="00554AB1">
        <w:rPr>
          <w:rFonts w:eastAsia="Times New Roman" w:cstheme="minorHAnsi"/>
          <w:b/>
          <w:bCs/>
        </w:rPr>
        <w:t xml:space="preserve">Project Beneficiaries: </w:t>
      </w:r>
      <w:bookmarkStart w:id="38" w:name="_Hlk531105865"/>
    </w:p>
    <w:p w14:paraId="0188CDDE"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bCs/>
        </w:rPr>
        <w:t xml:space="preserve">The project will provide substantial benefits locally (e.g. improved health and better work conditions to local communities), nationally (e.g. revenues from ASGM formalization and waste recycling) and </w:t>
      </w:r>
      <w:r w:rsidRPr="00554AB1">
        <w:rPr>
          <w:rFonts w:cstheme="minorHAnsi"/>
          <w:bCs/>
        </w:rPr>
        <w:lastRenderedPageBreak/>
        <w:t xml:space="preserve">regionally (e.g. improved health across countries, due to less transboundary emissions of chemicals). The project’s </w:t>
      </w:r>
      <w:r w:rsidRPr="00554AB1">
        <w:rPr>
          <w:rFonts w:cstheme="minorHAnsi"/>
          <w:bCs/>
          <w:u w:val="single"/>
        </w:rPr>
        <w:t>primary audience</w:t>
      </w:r>
      <w:r w:rsidRPr="00554AB1">
        <w:rPr>
          <w:rFonts w:cstheme="minorHAnsi"/>
          <w:bCs/>
        </w:rPr>
        <w:t xml:space="preserve"> includes the Ministries of Environment, Industries, Chemicals, ICT and Health, their regulatory enforcement agencies, and municipalities. They will benefit from the enhancement of policies, and development of guidelines and monitoring systems for the management of mercury and hazardous chemical waste, including e-waste. The project’s </w:t>
      </w:r>
      <w:r w:rsidRPr="00554AB1">
        <w:rPr>
          <w:rFonts w:cstheme="minorHAnsi"/>
          <w:bCs/>
          <w:u w:val="single"/>
        </w:rPr>
        <w:t>secondary audience</w:t>
      </w:r>
      <w:r w:rsidRPr="00554AB1">
        <w:rPr>
          <w:rFonts w:cstheme="minorHAnsi"/>
          <w:bCs/>
        </w:rPr>
        <w:t xml:space="preserve"> will be industries, industry associations, NGOs, including CBOs, local organizations and communities affected by harmful chemicals and wastes. They will be actively involved in the design and implementation of country projects. Within the secondary audience, direct beneficiaries include local communities, community-based organizations, and local government institutions in </w:t>
      </w:r>
      <w:r w:rsidRPr="00554AB1">
        <w:rPr>
          <w:rFonts w:cstheme="minorHAnsi"/>
          <w:b/>
          <w:bCs/>
        </w:rPr>
        <w:t>Kenya</w:t>
      </w:r>
      <w:r w:rsidRPr="00554AB1">
        <w:rPr>
          <w:rFonts w:cstheme="minorHAnsi"/>
          <w:bCs/>
        </w:rPr>
        <w:t xml:space="preserve">. Attention will be given to ensure the participation of local communities, women and vulnerable people at project sites. </w:t>
      </w:r>
    </w:p>
    <w:p w14:paraId="784E7757" w14:textId="77777777" w:rsidR="00D70D43" w:rsidRPr="00554AB1" w:rsidRDefault="00D70D43" w:rsidP="00D70D43">
      <w:pPr>
        <w:pStyle w:val="ListParagraph"/>
        <w:spacing w:before="120"/>
        <w:ind w:left="3"/>
        <w:jc w:val="both"/>
        <w:rPr>
          <w:rFonts w:cstheme="minorHAnsi"/>
          <w:bCs/>
        </w:rPr>
      </w:pPr>
    </w:p>
    <w:p w14:paraId="75453F90"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Key players in e-waste generation, management and disposal include a variety of ministries and private and public-sector partners. The Table below outlines the key institutions, roles, and constraints of these actors both up and downstream in the sector. </w:t>
      </w:r>
    </w:p>
    <w:bookmarkEnd w:id="38"/>
    <w:p w14:paraId="7CA45F89" w14:textId="77777777" w:rsidR="00D70D43" w:rsidRPr="00554AB1" w:rsidRDefault="00D70D43" w:rsidP="00D70D43">
      <w:pPr>
        <w:ind w:right="-432"/>
        <w:mirrorIndents/>
        <w:rPr>
          <w:rFonts w:eastAsia="Calibri" w:cstheme="minorHAnsi"/>
          <w:b/>
          <w:bC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A0" w:firstRow="1" w:lastRow="0" w:firstColumn="1" w:lastColumn="0" w:noHBand="0" w:noVBand="0"/>
      </w:tblPr>
      <w:tblGrid>
        <w:gridCol w:w="2598"/>
        <w:gridCol w:w="2734"/>
        <w:gridCol w:w="4023"/>
      </w:tblGrid>
      <w:tr w:rsidR="00D70D43" w:rsidRPr="00554AB1" w14:paraId="49B5817A" w14:textId="77777777" w:rsidTr="007463F5">
        <w:trPr>
          <w:trHeight w:val="296"/>
          <w:tblHeader/>
        </w:trPr>
        <w:tc>
          <w:tcPr>
            <w:tcW w:w="1389" w:type="pct"/>
            <w:shd w:val="clear" w:color="auto" w:fill="FDE9D9"/>
          </w:tcPr>
          <w:p w14:paraId="48F1FE15" w14:textId="77777777" w:rsidR="00D70D43" w:rsidRPr="00554AB1" w:rsidRDefault="00D70D43" w:rsidP="007463F5">
            <w:pPr>
              <w:spacing w:after="120"/>
              <w:jc w:val="both"/>
              <w:rPr>
                <w:rFonts w:eastAsia="Calibri" w:cstheme="minorHAnsi"/>
              </w:rPr>
            </w:pPr>
            <w:r w:rsidRPr="00554AB1">
              <w:rPr>
                <w:rFonts w:eastAsia="Calibri" w:cstheme="minorHAnsi"/>
              </w:rPr>
              <w:t>Institution</w:t>
            </w:r>
          </w:p>
        </w:tc>
        <w:tc>
          <w:tcPr>
            <w:tcW w:w="1461" w:type="pct"/>
            <w:shd w:val="clear" w:color="auto" w:fill="FDE9D9"/>
          </w:tcPr>
          <w:p w14:paraId="06AD5A74" w14:textId="77777777" w:rsidR="00D70D43" w:rsidRPr="00554AB1" w:rsidRDefault="00D70D43" w:rsidP="007463F5">
            <w:pPr>
              <w:spacing w:after="120"/>
              <w:jc w:val="both"/>
              <w:rPr>
                <w:rFonts w:eastAsia="Calibri" w:cstheme="minorHAnsi"/>
              </w:rPr>
            </w:pPr>
            <w:r w:rsidRPr="00554AB1">
              <w:rPr>
                <w:rFonts w:eastAsia="Calibri" w:cstheme="minorHAnsi"/>
              </w:rPr>
              <w:t>Role</w:t>
            </w:r>
          </w:p>
        </w:tc>
        <w:tc>
          <w:tcPr>
            <w:tcW w:w="2151" w:type="pct"/>
            <w:shd w:val="clear" w:color="auto" w:fill="FDE9D9"/>
          </w:tcPr>
          <w:p w14:paraId="4373BA0E" w14:textId="77777777" w:rsidR="00D70D43" w:rsidRPr="00554AB1" w:rsidRDefault="00D70D43" w:rsidP="007463F5">
            <w:pPr>
              <w:spacing w:after="120"/>
              <w:jc w:val="both"/>
              <w:rPr>
                <w:rFonts w:eastAsia="Calibri" w:cstheme="minorHAnsi"/>
              </w:rPr>
            </w:pPr>
            <w:r w:rsidRPr="00554AB1">
              <w:rPr>
                <w:rFonts w:eastAsia="Calibri" w:cstheme="minorHAnsi"/>
              </w:rPr>
              <w:t>Challenges/Constraints</w:t>
            </w:r>
          </w:p>
        </w:tc>
      </w:tr>
      <w:tr w:rsidR="00D70D43" w:rsidRPr="00554AB1" w14:paraId="35A8DCFC" w14:textId="77777777" w:rsidTr="007463F5">
        <w:trPr>
          <w:trHeight w:val="233"/>
        </w:trPr>
        <w:tc>
          <w:tcPr>
            <w:tcW w:w="5000" w:type="pct"/>
            <w:gridSpan w:val="3"/>
            <w:shd w:val="clear" w:color="auto" w:fill="FDE9D9"/>
          </w:tcPr>
          <w:p w14:paraId="53350FB8" w14:textId="77777777" w:rsidR="00D70D43" w:rsidRPr="00554AB1" w:rsidRDefault="00D70D43" w:rsidP="007463F5">
            <w:pPr>
              <w:jc w:val="both"/>
              <w:rPr>
                <w:rFonts w:eastAsia="Calibri" w:cstheme="minorHAnsi"/>
              </w:rPr>
            </w:pPr>
            <w:r w:rsidRPr="00554AB1">
              <w:rPr>
                <w:rFonts w:eastAsia="Calibri" w:cstheme="minorHAnsi"/>
              </w:rPr>
              <w:t>Government Ministries and Department</w:t>
            </w:r>
          </w:p>
        </w:tc>
      </w:tr>
      <w:tr w:rsidR="00D70D43" w:rsidRPr="00554AB1" w14:paraId="27F40C49" w14:textId="77777777" w:rsidTr="007463F5">
        <w:trPr>
          <w:trHeight w:val="526"/>
        </w:trPr>
        <w:tc>
          <w:tcPr>
            <w:tcW w:w="1389" w:type="pct"/>
          </w:tcPr>
          <w:p w14:paraId="2A3292E7" w14:textId="77777777" w:rsidR="00D70D43" w:rsidRPr="00554AB1" w:rsidRDefault="00D70D43" w:rsidP="007463F5">
            <w:pPr>
              <w:spacing w:after="100" w:afterAutospacing="1"/>
              <w:jc w:val="both"/>
              <w:rPr>
                <w:rFonts w:eastAsia="Calibri" w:cstheme="minorHAnsi"/>
              </w:rPr>
            </w:pPr>
            <w:r w:rsidRPr="00554AB1">
              <w:rPr>
                <w:rFonts w:eastAsia="Calibri" w:cstheme="minorHAnsi"/>
              </w:rPr>
              <w:t>Kenya Revenue Authority</w:t>
            </w:r>
          </w:p>
        </w:tc>
        <w:tc>
          <w:tcPr>
            <w:tcW w:w="1461" w:type="pct"/>
          </w:tcPr>
          <w:p w14:paraId="713A7C36" w14:textId="77777777" w:rsidR="00D70D43" w:rsidRPr="00554AB1" w:rsidRDefault="00D70D43" w:rsidP="007463F5">
            <w:pPr>
              <w:spacing w:after="100" w:afterAutospacing="1"/>
              <w:jc w:val="both"/>
              <w:rPr>
                <w:rFonts w:eastAsia="Calibri" w:cstheme="minorHAnsi"/>
              </w:rPr>
            </w:pPr>
            <w:r w:rsidRPr="00554AB1">
              <w:rPr>
                <w:rFonts w:eastAsia="Calibri" w:cstheme="minorHAnsi"/>
              </w:rPr>
              <w:t>Enforce custom regulations related to import of electronic equipment</w:t>
            </w:r>
          </w:p>
        </w:tc>
        <w:tc>
          <w:tcPr>
            <w:tcW w:w="2151" w:type="pct"/>
          </w:tcPr>
          <w:p w14:paraId="6BBC0AB7" w14:textId="77777777" w:rsidR="00D70D43" w:rsidRPr="00554AB1" w:rsidRDefault="00D70D43" w:rsidP="007463F5">
            <w:pPr>
              <w:spacing w:after="100" w:afterAutospacing="1"/>
              <w:jc w:val="both"/>
              <w:rPr>
                <w:rFonts w:eastAsia="Calibri" w:cstheme="minorHAnsi"/>
              </w:rPr>
            </w:pPr>
            <w:r w:rsidRPr="00554AB1">
              <w:rPr>
                <w:rFonts w:eastAsia="Calibri" w:cstheme="minorHAnsi"/>
              </w:rPr>
              <w:t>Limited capacity and technology to inspect all imports of electronic equipment to identify e-waste stock versus second-hand devices.</w:t>
            </w:r>
          </w:p>
        </w:tc>
      </w:tr>
      <w:tr w:rsidR="00D70D43" w:rsidRPr="00554AB1" w14:paraId="350E190A" w14:textId="77777777" w:rsidTr="007463F5">
        <w:trPr>
          <w:trHeight w:val="526"/>
        </w:trPr>
        <w:tc>
          <w:tcPr>
            <w:tcW w:w="1389" w:type="pct"/>
          </w:tcPr>
          <w:p w14:paraId="58882575" w14:textId="77777777" w:rsidR="00D70D43" w:rsidRPr="00554AB1" w:rsidRDefault="00D70D43" w:rsidP="007463F5">
            <w:pPr>
              <w:spacing w:after="100" w:afterAutospacing="1"/>
              <w:jc w:val="both"/>
              <w:rPr>
                <w:rFonts w:eastAsia="Calibri" w:cstheme="minorHAnsi"/>
              </w:rPr>
            </w:pPr>
            <w:r w:rsidRPr="00554AB1">
              <w:rPr>
                <w:rFonts w:eastAsia="Calibri" w:cstheme="minorHAnsi"/>
              </w:rPr>
              <w:t>Ministry of Environment / Ministry of ICT</w:t>
            </w:r>
          </w:p>
        </w:tc>
        <w:tc>
          <w:tcPr>
            <w:tcW w:w="1461" w:type="pct"/>
          </w:tcPr>
          <w:p w14:paraId="7A11EAA4" w14:textId="77777777" w:rsidR="00D70D43" w:rsidRPr="00554AB1" w:rsidRDefault="00D70D43" w:rsidP="007463F5">
            <w:pPr>
              <w:spacing w:after="100" w:afterAutospacing="1"/>
              <w:jc w:val="both"/>
              <w:rPr>
                <w:rFonts w:eastAsia="Calibri" w:cstheme="minorHAnsi"/>
              </w:rPr>
            </w:pPr>
            <w:r w:rsidRPr="00554AB1">
              <w:rPr>
                <w:rFonts w:eastAsia="Calibri" w:cstheme="minorHAnsi"/>
              </w:rPr>
              <w:t>Policy formulation on e-waste management</w:t>
            </w:r>
          </w:p>
        </w:tc>
        <w:tc>
          <w:tcPr>
            <w:tcW w:w="2151" w:type="pct"/>
          </w:tcPr>
          <w:p w14:paraId="1C63A06C"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Lack of capacity and resources for e-waste policy formulation </w:t>
            </w:r>
          </w:p>
        </w:tc>
      </w:tr>
      <w:tr w:rsidR="00D70D43" w:rsidRPr="00554AB1" w14:paraId="0CD9531E" w14:textId="77777777" w:rsidTr="007463F5">
        <w:trPr>
          <w:trHeight w:val="526"/>
        </w:trPr>
        <w:tc>
          <w:tcPr>
            <w:tcW w:w="1389" w:type="pct"/>
          </w:tcPr>
          <w:p w14:paraId="78E36B3F" w14:textId="77777777" w:rsidR="00D70D43" w:rsidRPr="00554AB1" w:rsidRDefault="00D70D43" w:rsidP="007463F5">
            <w:pPr>
              <w:spacing w:after="100" w:afterAutospacing="1"/>
              <w:jc w:val="both"/>
              <w:rPr>
                <w:rFonts w:eastAsia="Calibri" w:cstheme="minorHAnsi"/>
              </w:rPr>
            </w:pPr>
            <w:r w:rsidRPr="00554AB1">
              <w:rPr>
                <w:rFonts w:eastAsia="Calibri" w:cstheme="minorHAnsi"/>
              </w:rPr>
              <w:t>Ministry of Industries</w:t>
            </w:r>
          </w:p>
        </w:tc>
        <w:tc>
          <w:tcPr>
            <w:tcW w:w="1461" w:type="pct"/>
          </w:tcPr>
          <w:p w14:paraId="47964F31"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Policy formulation on IT Sector development </w:t>
            </w:r>
          </w:p>
        </w:tc>
        <w:tc>
          <w:tcPr>
            <w:tcW w:w="2151" w:type="pct"/>
          </w:tcPr>
          <w:p w14:paraId="6C68D5A7"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Inadequate resources for e-waste policy formulation </w:t>
            </w:r>
          </w:p>
        </w:tc>
      </w:tr>
      <w:tr w:rsidR="00D70D43" w:rsidRPr="00554AB1" w14:paraId="448C6C06" w14:textId="77777777" w:rsidTr="007463F5">
        <w:tc>
          <w:tcPr>
            <w:tcW w:w="1389" w:type="pct"/>
          </w:tcPr>
          <w:p w14:paraId="08566BA9" w14:textId="77777777" w:rsidR="00D70D43" w:rsidRPr="00554AB1" w:rsidRDefault="00D70D43" w:rsidP="007463F5">
            <w:pPr>
              <w:spacing w:after="100" w:afterAutospacing="1"/>
              <w:jc w:val="both"/>
              <w:rPr>
                <w:rFonts w:eastAsia="Calibri" w:cstheme="minorHAnsi"/>
              </w:rPr>
            </w:pPr>
            <w:r w:rsidRPr="00554AB1">
              <w:rPr>
                <w:rFonts w:eastAsia="Calibri" w:cstheme="minorHAnsi"/>
              </w:rPr>
              <w:t>Ministry of Health</w:t>
            </w:r>
          </w:p>
        </w:tc>
        <w:tc>
          <w:tcPr>
            <w:tcW w:w="1461" w:type="pct"/>
          </w:tcPr>
          <w:p w14:paraId="766CE9FD" w14:textId="77777777" w:rsidR="00D70D43" w:rsidRPr="00554AB1" w:rsidRDefault="00D70D43" w:rsidP="007463F5">
            <w:pPr>
              <w:spacing w:after="100" w:afterAutospacing="1"/>
              <w:jc w:val="both"/>
              <w:rPr>
                <w:rFonts w:eastAsia="Calibri" w:cstheme="minorHAnsi"/>
              </w:rPr>
            </w:pPr>
            <w:r w:rsidRPr="00554AB1">
              <w:rPr>
                <w:rFonts w:eastAsia="Calibri" w:cstheme="minorHAnsi"/>
              </w:rPr>
              <w:t>Policy formulation on e-waste management</w:t>
            </w:r>
          </w:p>
        </w:tc>
        <w:tc>
          <w:tcPr>
            <w:tcW w:w="2151" w:type="pct"/>
          </w:tcPr>
          <w:p w14:paraId="4B59869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Inadequate resources for e-waste policy formulation</w:t>
            </w:r>
          </w:p>
        </w:tc>
      </w:tr>
      <w:tr w:rsidR="00D70D43" w:rsidRPr="00554AB1" w14:paraId="502BCAE3" w14:textId="77777777" w:rsidTr="007463F5">
        <w:tc>
          <w:tcPr>
            <w:tcW w:w="1389" w:type="pct"/>
          </w:tcPr>
          <w:p w14:paraId="5A190BFA"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NEMA </w:t>
            </w:r>
          </w:p>
        </w:tc>
        <w:tc>
          <w:tcPr>
            <w:tcW w:w="1461" w:type="pct"/>
          </w:tcPr>
          <w:p w14:paraId="0DED61F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Enforcement of regulations, awareness creation, </w:t>
            </w:r>
          </w:p>
        </w:tc>
        <w:tc>
          <w:tcPr>
            <w:tcW w:w="2151" w:type="pct"/>
          </w:tcPr>
          <w:p w14:paraId="66D3388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Lack of capacity for e-waste management enforcement, awareness creations,</w:t>
            </w:r>
          </w:p>
        </w:tc>
      </w:tr>
      <w:tr w:rsidR="00D70D43" w:rsidRPr="00554AB1" w14:paraId="374D4596" w14:textId="77777777" w:rsidTr="007463F5">
        <w:tc>
          <w:tcPr>
            <w:tcW w:w="1389" w:type="pct"/>
          </w:tcPr>
          <w:p w14:paraId="3B134360" w14:textId="77777777" w:rsidR="00D70D43" w:rsidRPr="00554AB1" w:rsidRDefault="00D70D43" w:rsidP="007463F5">
            <w:pPr>
              <w:spacing w:after="100" w:afterAutospacing="1"/>
              <w:jc w:val="both"/>
              <w:rPr>
                <w:rFonts w:eastAsia="Calibri" w:cstheme="minorHAnsi"/>
              </w:rPr>
            </w:pPr>
            <w:r w:rsidRPr="00554AB1">
              <w:rPr>
                <w:rFonts w:eastAsia="Calibri" w:cstheme="minorHAnsi"/>
              </w:rPr>
              <w:t>Kenya Bureau of Standards</w:t>
            </w:r>
          </w:p>
        </w:tc>
        <w:tc>
          <w:tcPr>
            <w:tcW w:w="1461" w:type="pct"/>
          </w:tcPr>
          <w:p w14:paraId="6D0C9CB4" w14:textId="77777777" w:rsidR="00D70D43" w:rsidRPr="00554AB1" w:rsidRDefault="00D70D43" w:rsidP="007463F5">
            <w:pPr>
              <w:spacing w:after="100" w:afterAutospacing="1"/>
              <w:jc w:val="both"/>
              <w:rPr>
                <w:rFonts w:eastAsia="Calibri" w:cstheme="minorHAnsi"/>
              </w:rPr>
            </w:pPr>
            <w:r w:rsidRPr="00554AB1">
              <w:rPr>
                <w:rFonts w:eastAsia="Calibri" w:cstheme="minorHAnsi"/>
              </w:rPr>
              <w:t>Standards and specifications development for IT sector and e-waste management</w:t>
            </w:r>
          </w:p>
        </w:tc>
        <w:tc>
          <w:tcPr>
            <w:tcW w:w="2151" w:type="pct"/>
          </w:tcPr>
          <w:p w14:paraId="17E495A3"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Inadequate capacity and resources </w:t>
            </w:r>
          </w:p>
        </w:tc>
      </w:tr>
      <w:tr w:rsidR="00D70D43" w:rsidRPr="00554AB1" w14:paraId="2959502A" w14:textId="77777777" w:rsidTr="007463F5">
        <w:tc>
          <w:tcPr>
            <w:tcW w:w="5000" w:type="pct"/>
            <w:gridSpan w:val="3"/>
            <w:shd w:val="clear" w:color="auto" w:fill="F2F2F2"/>
          </w:tcPr>
          <w:p w14:paraId="2A736E40" w14:textId="77777777" w:rsidR="00D70D43" w:rsidRPr="00554AB1" w:rsidRDefault="00D70D43" w:rsidP="007463F5">
            <w:pPr>
              <w:spacing w:after="100" w:afterAutospacing="1"/>
              <w:jc w:val="both"/>
              <w:rPr>
                <w:rFonts w:eastAsia="Calibri" w:cstheme="minorHAnsi"/>
              </w:rPr>
            </w:pPr>
            <w:r w:rsidRPr="00554AB1">
              <w:rPr>
                <w:rFonts w:eastAsia="Calibri" w:cstheme="minorHAnsi"/>
              </w:rPr>
              <w:t>Civil Society Organizations</w:t>
            </w:r>
          </w:p>
        </w:tc>
      </w:tr>
      <w:tr w:rsidR="00D70D43" w:rsidRPr="00554AB1" w14:paraId="2B3B4FEE" w14:textId="77777777" w:rsidTr="007463F5">
        <w:tc>
          <w:tcPr>
            <w:tcW w:w="1389" w:type="pct"/>
          </w:tcPr>
          <w:p w14:paraId="62651699" w14:textId="77777777" w:rsidR="00D70D43" w:rsidRPr="00554AB1" w:rsidRDefault="00D70D43" w:rsidP="007463F5">
            <w:pPr>
              <w:spacing w:after="100" w:afterAutospacing="1"/>
              <w:jc w:val="both"/>
              <w:rPr>
                <w:rFonts w:eastAsia="Calibri" w:cstheme="minorHAnsi"/>
              </w:rPr>
            </w:pPr>
            <w:r w:rsidRPr="00554AB1">
              <w:rPr>
                <w:rFonts w:eastAsia="Calibri" w:cstheme="minorHAnsi"/>
              </w:rPr>
              <w:t>Computer for Schools</w:t>
            </w:r>
          </w:p>
          <w:p w14:paraId="5B20E663" w14:textId="77777777" w:rsidR="00D70D43" w:rsidRPr="00554AB1" w:rsidRDefault="00D70D43" w:rsidP="007463F5">
            <w:pPr>
              <w:spacing w:after="100" w:afterAutospacing="1"/>
              <w:jc w:val="both"/>
              <w:rPr>
                <w:rFonts w:eastAsia="Calibri" w:cstheme="minorHAnsi"/>
              </w:rPr>
            </w:pPr>
            <w:r w:rsidRPr="00554AB1">
              <w:rPr>
                <w:rFonts w:eastAsia="Calibri" w:cstheme="minorHAnsi"/>
              </w:rPr>
              <w:t>I-Hub, ICT Action Network</w:t>
            </w:r>
          </w:p>
        </w:tc>
        <w:tc>
          <w:tcPr>
            <w:tcW w:w="1461" w:type="pct"/>
          </w:tcPr>
          <w:p w14:paraId="18335901" w14:textId="77777777" w:rsidR="00D70D43" w:rsidRPr="00554AB1" w:rsidRDefault="00D70D43" w:rsidP="007463F5">
            <w:pPr>
              <w:spacing w:after="100" w:afterAutospacing="1"/>
              <w:jc w:val="both"/>
              <w:rPr>
                <w:rFonts w:eastAsia="Calibri" w:cstheme="minorHAnsi"/>
              </w:rPr>
            </w:pPr>
            <w:r w:rsidRPr="00554AB1">
              <w:rPr>
                <w:rFonts w:eastAsia="Calibri" w:cstheme="minorHAnsi"/>
              </w:rPr>
              <w:t>Create awareness on e-waste problem; Influence Policy and regulation on e-waste management;</w:t>
            </w:r>
          </w:p>
        </w:tc>
        <w:tc>
          <w:tcPr>
            <w:tcW w:w="2151" w:type="pct"/>
          </w:tcPr>
          <w:p w14:paraId="04EA4A91" w14:textId="77777777" w:rsidR="00D70D43" w:rsidRPr="00554AB1" w:rsidRDefault="00D70D43" w:rsidP="007463F5">
            <w:pPr>
              <w:spacing w:after="100" w:afterAutospacing="1"/>
              <w:jc w:val="both"/>
              <w:rPr>
                <w:rFonts w:eastAsia="Calibri" w:cstheme="minorHAnsi"/>
              </w:rPr>
            </w:pPr>
            <w:r w:rsidRPr="00554AB1">
              <w:rPr>
                <w:rFonts w:eastAsia="Calibri" w:cstheme="minorHAnsi"/>
              </w:rPr>
              <w:t>Lack of data on e-waste quantities</w:t>
            </w:r>
          </w:p>
        </w:tc>
      </w:tr>
      <w:tr w:rsidR="00D70D43" w:rsidRPr="00554AB1" w14:paraId="757DE96E" w14:textId="77777777" w:rsidTr="007463F5">
        <w:tc>
          <w:tcPr>
            <w:tcW w:w="1389" w:type="pct"/>
            <w:tcBorders>
              <w:bottom w:val="single" w:sz="4" w:space="0" w:color="auto"/>
            </w:tcBorders>
            <w:shd w:val="clear" w:color="auto" w:fill="F2F2F2"/>
          </w:tcPr>
          <w:p w14:paraId="1D761A3B" w14:textId="77777777" w:rsidR="00D70D43" w:rsidRPr="00554AB1" w:rsidRDefault="00D70D43" w:rsidP="007463F5">
            <w:pPr>
              <w:spacing w:after="100" w:afterAutospacing="1"/>
              <w:jc w:val="both"/>
              <w:rPr>
                <w:rFonts w:eastAsia="Calibri" w:cstheme="minorHAnsi"/>
              </w:rPr>
            </w:pPr>
            <w:r w:rsidRPr="00554AB1">
              <w:rPr>
                <w:rFonts w:eastAsia="Calibri" w:cstheme="minorHAnsi"/>
              </w:rPr>
              <w:t>Private Sector</w:t>
            </w:r>
          </w:p>
        </w:tc>
        <w:tc>
          <w:tcPr>
            <w:tcW w:w="1461" w:type="pct"/>
            <w:tcBorders>
              <w:bottom w:val="single" w:sz="4" w:space="0" w:color="auto"/>
            </w:tcBorders>
            <w:shd w:val="clear" w:color="auto" w:fill="F2F2F2"/>
          </w:tcPr>
          <w:p w14:paraId="56D908D2" w14:textId="77777777" w:rsidR="00D70D43" w:rsidRPr="00554AB1" w:rsidRDefault="00D70D43" w:rsidP="007463F5">
            <w:pPr>
              <w:spacing w:after="100" w:afterAutospacing="1"/>
              <w:jc w:val="both"/>
              <w:rPr>
                <w:rFonts w:eastAsia="Calibri" w:cstheme="minorHAnsi"/>
              </w:rPr>
            </w:pPr>
          </w:p>
        </w:tc>
        <w:tc>
          <w:tcPr>
            <w:tcW w:w="2151" w:type="pct"/>
            <w:tcBorders>
              <w:bottom w:val="single" w:sz="4" w:space="0" w:color="auto"/>
            </w:tcBorders>
            <w:shd w:val="clear" w:color="auto" w:fill="F2F2F2"/>
          </w:tcPr>
          <w:p w14:paraId="5F3453C1" w14:textId="77777777" w:rsidR="00D70D43" w:rsidRPr="00554AB1" w:rsidRDefault="00D70D43" w:rsidP="007463F5">
            <w:pPr>
              <w:spacing w:after="100" w:afterAutospacing="1"/>
              <w:jc w:val="both"/>
              <w:rPr>
                <w:rFonts w:eastAsia="Calibri" w:cstheme="minorHAnsi"/>
              </w:rPr>
            </w:pPr>
          </w:p>
        </w:tc>
      </w:tr>
      <w:tr w:rsidR="00D70D43" w:rsidRPr="00554AB1" w14:paraId="65BAAD51" w14:textId="77777777" w:rsidTr="007463F5">
        <w:tc>
          <w:tcPr>
            <w:tcW w:w="1389" w:type="pct"/>
          </w:tcPr>
          <w:p w14:paraId="7A710463" w14:textId="77777777" w:rsidR="00D70D43" w:rsidRPr="00554AB1" w:rsidRDefault="00D70D43" w:rsidP="007463F5">
            <w:pPr>
              <w:spacing w:after="100" w:afterAutospacing="1"/>
              <w:jc w:val="both"/>
              <w:rPr>
                <w:rFonts w:eastAsia="Calibri" w:cstheme="minorHAnsi"/>
              </w:rPr>
            </w:pPr>
            <w:r w:rsidRPr="00554AB1">
              <w:rPr>
                <w:rFonts w:eastAsia="Calibri" w:cstheme="minorHAnsi"/>
              </w:rPr>
              <w:t xml:space="preserve">Recycling Companies </w:t>
            </w:r>
          </w:p>
        </w:tc>
        <w:tc>
          <w:tcPr>
            <w:tcW w:w="1461" w:type="pct"/>
          </w:tcPr>
          <w:p w14:paraId="5CC24BAA" w14:textId="77777777" w:rsidR="00D70D43" w:rsidRPr="00554AB1" w:rsidRDefault="00D70D43" w:rsidP="007463F5">
            <w:pPr>
              <w:spacing w:after="100" w:afterAutospacing="1"/>
              <w:jc w:val="both"/>
              <w:rPr>
                <w:rFonts w:eastAsia="Calibri" w:cstheme="minorHAnsi"/>
              </w:rPr>
            </w:pPr>
            <w:r w:rsidRPr="00554AB1">
              <w:rPr>
                <w:rFonts w:eastAsia="Calibri" w:cstheme="minorHAnsi"/>
              </w:rPr>
              <w:t>Recycle/refurbish e-waste</w:t>
            </w:r>
          </w:p>
        </w:tc>
        <w:tc>
          <w:tcPr>
            <w:tcW w:w="2151" w:type="pct"/>
            <w:vMerge w:val="restart"/>
          </w:tcPr>
          <w:p w14:paraId="24DDA2C9" w14:textId="77777777" w:rsidR="00D70D43" w:rsidRPr="00554AB1" w:rsidRDefault="00D70D43" w:rsidP="007463F5">
            <w:pPr>
              <w:spacing w:after="100" w:afterAutospacing="1"/>
              <w:jc w:val="both"/>
              <w:rPr>
                <w:rFonts w:eastAsia="Calibri" w:cstheme="minorHAnsi"/>
              </w:rPr>
            </w:pPr>
            <w:r w:rsidRPr="00554AB1">
              <w:rPr>
                <w:rFonts w:eastAsia="Calibri" w:cstheme="minorHAnsi"/>
              </w:rPr>
              <w:t>Inadequate regulatory and legal framework for operations; Low public awareness on e-waste as resources;</w:t>
            </w:r>
          </w:p>
        </w:tc>
      </w:tr>
      <w:tr w:rsidR="00D70D43" w:rsidRPr="00554AB1" w14:paraId="496B7C84" w14:textId="77777777" w:rsidTr="007463F5">
        <w:tc>
          <w:tcPr>
            <w:tcW w:w="1389" w:type="pct"/>
            <w:tcBorders>
              <w:bottom w:val="single" w:sz="4" w:space="0" w:color="auto"/>
            </w:tcBorders>
          </w:tcPr>
          <w:p w14:paraId="4597F463" w14:textId="77777777" w:rsidR="00D70D43" w:rsidRPr="00554AB1" w:rsidRDefault="00D70D43" w:rsidP="007463F5">
            <w:pPr>
              <w:spacing w:after="100" w:afterAutospacing="1"/>
              <w:jc w:val="both"/>
              <w:rPr>
                <w:rFonts w:eastAsia="Calibri" w:cstheme="minorHAnsi"/>
              </w:rPr>
            </w:pPr>
            <w:r w:rsidRPr="00554AB1">
              <w:rPr>
                <w:rFonts w:eastAsia="Calibri" w:cstheme="minorHAnsi"/>
              </w:rPr>
              <w:lastRenderedPageBreak/>
              <w:t>Equipment Manufacturers (HP, Dell, IBM)</w:t>
            </w:r>
          </w:p>
        </w:tc>
        <w:tc>
          <w:tcPr>
            <w:tcW w:w="1461" w:type="pct"/>
            <w:tcBorders>
              <w:bottom w:val="single" w:sz="4" w:space="0" w:color="auto"/>
            </w:tcBorders>
          </w:tcPr>
          <w:p w14:paraId="71874C62" w14:textId="77777777" w:rsidR="00D70D43" w:rsidRPr="00554AB1" w:rsidRDefault="00D70D43" w:rsidP="007463F5">
            <w:pPr>
              <w:spacing w:after="100" w:afterAutospacing="1"/>
              <w:jc w:val="both"/>
              <w:rPr>
                <w:rFonts w:eastAsia="Calibri" w:cstheme="minorHAnsi"/>
              </w:rPr>
            </w:pPr>
            <w:r w:rsidRPr="00554AB1">
              <w:rPr>
                <w:rFonts w:eastAsia="Calibri" w:cstheme="minorHAnsi"/>
              </w:rPr>
              <w:t>Extended Product Responsibility</w:t>
            </w:r>
          </w:p>
        </w:tc>
        <w:tc>
          <w:tcPr>
            <w:tcW w:w="2151" w:type="pct"/>
            <w:vMerge/>
            <w:tcBorders>
              <w:bottom w:val="single" w:sz="4" w:space="0" w:color="auto"/>
            </w:tcBorders>
          </w:tcPr>
          <w:p w14:paraId="6E8A444F" w14:textId="77777777" w:rsidR="00D70D43" w:rsidRPr="00554AB1" w:rsidRDefault="00D70D43" w:rsidP="007463F5">
            <w:pPr>
              <w:spacing w:after="100" w:afterAutospacing="1"/>
              <w:jc w:val="both"/>
              <w:rPr>
                <w:rFonts w:eastAsia="Calibri" w:cstheme="minorHAnsi"/>
              </w:rPr>
            </w:pPr>
          </w:p>
        </w:tc>
      </w:tr>
    </w:tbl>
    <w:p w14:paraId="3B94AA7F" w14:textId="77777777" w:rsidR="00D70D43" w:rsidRPr="00554AB1" w:rsidRDefault="00D70D43" w:rsidP="00D70D43">
      <w:pPr>
        <w:ind w:left="-634"/>
        <w:rPr>
          <w:rFonts w:eastAsia="Calibri" w:cstheme="minorHAnsi"/>
          <w:bCs/>
        </w:rPr>
      </w:pPr>
    </w:p>
    <w:p w14:paraId="515D9C1C"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b/>
          <w:bCs/>
        </w:rPr>
        <w:t>Gender</w:t>
      </w:r>
      <w:r w:rsidRPr="00554AB1">
        <w:rPr>
          <w:rFonts w:cstheme="minorHAnsi"/>
          <w:bCs/>
        </w:rPr>
        <w:t xml:space="preserve">. </w:t>
      </w:r>
      <w:r w:rsidRPr="00554AB1">
        <w:rPr>
          <w:rFonts w:cstheme="minorHAnsi"/>
        </w:rPr>
        <w:t>While waste-pickers are generally considered a vulnerable sub-population, female waste-pickers are highly vulnerable. They lack formal education, marketable skills, access to information (e.g. safety measures, knowledge regarding technology), and have greater time restrictions due to household and child care compared to male waste-pickers. As a result, female waste-pickers tend to get less pay compared to males, rarely wear safety gear, and are likely to be disproportionately exposed to hazardous working conditions and waste. E-waste specifically affects women’s morbidity, mortality, and fertility, as well as the health of children.</w:t>
      </w:r>
    </w:p>
    <w:p w14:paraId="0F3AAD13" w14:textId="77777777" w:rsidR="00D70D43" w:rsidRPr="00554AB1" w:rsidRDefault="00D70D43" w:rsidP="00D70D43">
      <w:pPr>
        <w:pStyle w:val="ListParagraph"/>
        <w:rPr>
          <w:rFonts w:cstheme="minorHAnsi"/>
        </w:rPr>
      </w:pPr>
    </w:p>
    <w:p w14:paraId="590E6FA4"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rPr>
        <w:t>This project will provide opportunities for women to increase benefits and minimize health risks from participating in the above sectors. It will undertake gender analysis as part of the socio-economic assessment; will highlight best practices in integrating gender aspects in “empowerment” activities; and will help improve their livelihoods and scope of decision making. Specifically, under component 2, gender considerations will be integrated as part of the policy dialogue to build women’s capacity to actively participate and have a voice in key decision-making, while providing dialogue platforms that are inclusive and action-oriented. Under components 1 and 3, the project will address various gender gaps in access to information (e.g. on safety measures, adoption to cleaner technology, availability of training and other public programs) and opportunities for decent work terms and conditions.</w:t>
      </w:r>
    </w:p>
    <w:p w14:paraId="19DDDA32" w14:textId="77777777" w:rsidR="00D70D43" w:rsidRPr="00554AB1" w:rsidRDefault="00D70D43" w:rsidP="00D70D43">
      <w:pPr>
        <w:pStyle w:val="ListParagraph"/>
        <w:rPr>
          <w:rFonts w:cstheme="minorHAnsi"/>
          <w:b/>
        </w:rPr>
      </w:pPr>
    </w:p>
    <w:p w14:paraId="6F086E0D"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bCs/>
        </w:rPr>
      </w:pPr>
      <w:r w:rsidRPr="00554AB1">
        <w:rPr>
          <w:rFonts w:cstheme="minorHAnsi"/>
          <w:b/>
        </w:rPr>
        <w:t xml:space="preserve">Results Chain: </w:t>
      </w:r>
    </w:p>
    <w:p w14:paraId="3172EA46" w14:textId="77777777" w:rsidR="00D70D43" w:rsidRPr="00554AB1" w:rsidRDefault="00D70D43" w:rsidP="00D70D43">
      <w:pPr>
        <w:pStyle w:val="ListParagraph"/>
        <w:rPr>
          <w:rFonts w:cstheme="minorHAnsi"/>
        </w:rPr>
      </w:pPr>
    </w:p>
    <w:p w14:paraId="20925B8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Capacity of national agencies/authorities responsible for identifying and addressing environmental health risks associated with chemicals and waste (including </w:t>
      </w:r>
      <w:proofErr w:type="spellStart"/>
      <w:r w:rsidRPr="00554AB1">
        <w:rPr>
          <w:rFonts w:cstheme="minorHAnsi"/>
        </w:rPr>
        <w:t>uPOPs</w:t>
      </w:r>
      <w:proofErr w:type="spellEnd"/>
      <w:r w:rsidRPr="00554AB1">
        <w:rPr>
          <w:rFonts w:cstheme="minorHAnsi"/>
        </w:rPr>
        <w:t xml:space="preserve">) improved. This outcomes will be measured by: (a) improved capacity for monitoring and collection of data on the usage and trade of e-waste; (b) Inspection protocols developed and enforcement authorities equipped with monitoring equipment; (c) increased awareness among project stakeholders about environmental health risks from </w:t>
      </w:r>
      <w:proofErr w:type="spellStart"/>
      <w:r w:rsidRPr="00554AB1">
        <w:rPr>
          <w:rFonts w:cstheme="minorHAnsi"/>
        </w:rPr>
        <w:t>uPOPs</w:t>
      </w:r>
      <w:proofErr w:type="spellEnd"/>
      <w:r w:rsidRPr="00554AB1">
        <w:rPr>
          <w:rFonts w:cstheme="minorHAnsi"/>
        </w:rPr>
        <w:t xml:space="preserve"> associated with e-waste; (d) train inspectors and officers of agencies, with focus on pilot counties; and (e) participate in the regional forum for monitoring and decision-making on use and trade of mercury and unsound processing of electronic waste. </w:t>
      </w:r>
    </w:p>
    <w:p w14:paraId="29CDB9DC" w14:textId="77777777" w:rsidR="00D70D43" w:rsidRPr="00554AB1" w:rsidRDefault="00D70D43" w:rsidP="00D70D43">
      <w:pPr>
        <w:pStyle w:val="ListParagraph"/>
        <w:rPr>
          <w:rFonts w:cstheme="minorHAnsi"/>
        </w:rPr>
      </w:pPr>
    </w:p>
    <w:p w14:paraId="545FFDC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National environmental policies and regulations of participating countries strengthened: These outcomes will be measured by the following: (a) policies and regulations for management of urban and e-waste developed/updated by participating countries; (b) contribution to the regional guidance note on sustainability of e-waste lifecycle; (e) participation in the South -South exchange organized for sharing knowledge on e-waste management; (f) participation in the regional meetings on common e-waste and other chemicals management priorities.</w:t>
      </w:r>
    </w:p>
    <w:p w14:paraId="01974809" w14:textId="77777777" w:rsidR="00D70D43" w:rsidRPr="00554AB1" w:rsidRDefault="00D70D43" w:rsidP="00D70D43">
      <w:pPr>
        <w:pStyle w:val="ListParagraph"/>
        <w:rPr>
          <w:rFonts w:cstheme="minorHAnsi"/>
        </w:rPr>
      </w:pPr>
    </w:p>
    <w:p w14:paraId="23B3301A"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Demonstration pilots for reducing environmental health risks (from </w:t>
      </w:r>
      <w:proofErr w:type="spellStart"/>
      <w:r w:rsidRPr="00554AB1">
        <w:rPr>
          <w:rFonts w:cstheme="minorHAnsi"/>
        </w:rPr>
        <w:t>uPOPs</w:t>
      </w:r>
      <w:proofErr w:type="spellEnd"/>
      <w:r w:rsidRPr="00554AB1">
        <w:rPr>
          <w:rFonts w:cstheme="minorHAnsi"/>
        </w:rPr>
        <w:t xml:space="preserve">) carried out. The outcomes will be measured by (a) number of entities (public or private) engaged in e-waste demo pilots; (b) number of pilots demonstrating reduction of </w:t>
      </w:r>
      <w:proofErr w:type="spellStart"/>
      <w:r w:rsidRPr="00554AB1">
        <w:rPr>
          <w:rFonts w:cstheme="minorHAnsi"/>
        </w:rPr>
        <w:t>uPOPs</w:t>
      </w:r>
      <w:proofErr w:type="spellEnd"/>
      <w:r w:rsidRPr="00554AB1">
        <w:rPr>
          <w:rFonts w:cstheme="minorHAnsi"/>
        </w:rPr>
        <w:t xml:space="preserve"> based on introduction of sustainable technologies, and (c) </w:t>
      </w:r>
      <w:r w:rsidRPr="00554AB1">
        <w:rPr>
          <w:rFonts w:cstheme="minorHAnsi"/>
        </w:rPr>
        <w:lastRenderedPageBreak/>
        <w:t>number of pilots with introducing models that engage affected communities.</w:t>
      </w:r>
    </w:p>
    <w:p w14:paraId="2C491D14" w14:textId="77777777" w:rsidR="00D70D43" w:rsidRPr="00554AB1" w:rsidRDefault="00D70D43" w:rsidP="00D70D43">
      <w:pPr>
        <w:pStyle w:val="ListParagraph"/>
        <w:rPr>
          <w:rFonts w:cstheme="minorHAnsi"/>
          <w:b/>
        </w:rPr>
      </w:pPr>
    </w:p>
    <w:p w14:paraId="4CC78CD7" w14:textId="322B7AAE" w:rsidR="001445F8" w:rsidRDefault="00D70D43" w:rsidP="001445F8">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b/>
        </w:rPr>
        <w:t>Rationale for Bank Involvement and Role of Partners:</w:t>
      </w:r>
      <w:r w:rsidRPr="00554AB1">
        <w:rPr>
          <w:rFonts w:cstheme="minorHAnsi"/>
        </w:rPr>
        <w:t xml:space="preserve"> The Bank will use its leverage to convene the highest levels of national government, led by Ministries of Finance, to a common platform to help accelerate action toward follow-up investment priorities. Such a platform will supplement ongoing efforts and enable the participating countries to strengthen policy dialogue and identify solutions to focus on meeting Stockholm Convention obligations and promote increased contributions from the private sector. This will allow GEF interventions to be sustained after the Project is completed. Proposed activities are aimed at contributing to the individual Government’s efforts in minimizing emissions from unsustainable electronic waste recycling practices. This includes uncontrolled waste burning and strengthening the current environmental policies and regulations and capacity to monitor, screen and assessment of health and environmental risks associated with </w:t>
      </w:r>
      <w:proofErr w:type="spellStart"/>
      <w:r w:rsidRPr="00554AB1">
        <w:rPr>
          <w:rFonts w:cstheme="minorHAnsi"/>
        </w:rPr>
        <w:t>uPOPs</w:t>
      </w:r>
      <w:proofErr w:type="spellEnd"/>
      <w:r w:rsidRPr="00554AB1">
        <w:rPr>
          <w:rFonts w:cstheme="minorHAnsi"/>
        </w:rPr>
        <w:t>; promoting sustainable e-waste management practices (from collection and dismantling to recycling and reuse); strengthening the current environmental policies and regulations and capacity for monitoring and evaluation. Building capacity for development of strategy and regulation to reduce the POP emissions, reducing the exposure of the population e-waste would require public sector financing because the primary beneficiaries (those whose health is affected most negatively) are the poor and vulnerable populations. Years of ineffective public policies have led to substantial human health consequences in waste management sector. If left unattended, with the ongoing trend for notable growth of imports and exports of goods and services in the country, including POPs industries, trade and services, the socio-economic cost associated with public health hazards will grow and pile up as contingent public liability that may turn into a major source of fiscal distress. It is therefore anticipated that project initiatives will remain in the public domain. The Bank will use its leverage to engage and convene the national and country-level governments, led by National Treasury, to a common platform to help accelerate actions toward investment priorities driven by policy shift on chemicals management. The country-level platform will enable the participating countries to collaborate and engage with other regional partners to strengthen the policy dialogue and identifying solutions to focus on meeting the international conventions’ obligations and promote increased contributions from the private sector. This also serves as a vision for sustainability of GEF interventions after the program is completed.</w:t>
      </w:r>
    </w:p>
    <w:p w14:paraId="490E4246" w14:textId="77777777" w:rsidR="001445F8" w:rsidRDefault="001445F8" w:rsidP="001445F8">
      <w:pPr>
        <w:pStyle w:val="ListParagraph"/>
        <w:widowControl w:val="0"/>
        <w:autoSpaceDE w:val="0"/>
        <w:autoSpaceDN w:val="0"/>
        <w:adjustRightInd w:val="0"/>
        <w:spacing w:before="120" w:after="0" w:line="240" w:lineRule="auto"/>
        <w:ind w:left="3"/>
        <w:jc w:val="both"/>
        <w:rPr>
          <w:rFonts w:cstheme="minorHAnsi"/>
        </w:rPr>
      </w:pPr>
    </w:p>
    <w:p w14:paraId="55B0FD03" w14:textId="2EE69772" w:rsidR="001445F8" w:rsidRPr="001445F8" w:rsidRDefault="00E87BEC" w:rsidP="001445F8">
      <w:pPr>
        <w:pStyle w:val="ListParagraph"/>
        <w:widowControl w:val="0"/>
        <w:numPr>
          <w:ilvl w:val="0"/>
          <w:numId w:val="21"/>
        </w:numPr>
        <w:autoSpaceDE w:val="0"/>
        <w:autoSpaceDN w:val="0"/>
        <w:adjustRightInd w:val="0"/>
        <w:spacing w:before="120" w:after="0" w:line="240" w:lineRule="auto"/>
        <w:jc w:val="both"/>
        <w:rPr>
          <w:rFonts w:cstheme="minorHAnsi"/>
        </w:rPr>
      </w:pPr>
      <w:r w:rsidRPr="001445F8">
        <w:rPr>
          <w:rFonts w:eastAsia="Times New Roman" w:cstheme="minorHAnsi"/>
          <w:b/>
        </w:rPr>
        <w:t>Incremental</w:t>
      </w:r>
      <w:r w:rsidR="001445F8">
        <w:rPr>
          <w:rFonts w:eastAsia="Times New Roman" w:cstheme="minorHAnsi"/>
          <w:b/>
        </w:rPr>
        <w:t xml:space="preserve"> Re</w:t>
      </w:r>
      <w:r w:rsidRPr="001445F8">
        <w:rPr>
          <w:rFonts w:eastAsia="Times New Roman" w:cstheme="minorHAnsi"/>
          <w:b/>
        </w:rPr>
        <w:t>asoning and co-financing:</w:t>
      </w:r>
      <w:r w:rsidRPr="001445F8">
        <w:rPr>
          <w:rFonts w:eastAsia="Times New Roman" w:cstheme="minorHAnsi"/>
        </w:rPr>
        <w:t xml:space="preserve"> The World Bank </w:t>
      </w:r>
      <w:proofErr w:type="gramStart"/>
      <w:r w:rsidRPr="001445F8">
        <w:rPr>
          <w:rFonts w:eastAsia="Times New Roman" w:cstheme="minorHAnsi"/>
        </w:rPr>
        <w:t>is</w:t>
      </w:r>
      <w:proofErr w:type="gramEnd"/>
      <w:r w:rsidRPr="001445F8">
        <w:rPr>
          <w:rFonts w:eastAsia="Times New Roman" w:cstheme="minorHAnsi"/>
        </w:rPr>
        <w:t xml:space="preserve"> supporting the Government of Kenya on </w:t>
      </w:r>
      <w:r w:rsidR="00DD2DFD" w:rsidRPr="001445F8">
        <w:rPr>
          <w:rFonts w:eastAsia="Times New Roman" w:cstheme="minorHAnsi"/>
        </w:rPr>
        <w:t>an Urban Support Program</w:t>
      </w:r>
      <w:r w:rsidR="00EB02DE" w:rsidRPr="001445F8">
        <w:rPr>
          <w:rFonts w:eastAsia="Times New Roman" w:cstheme="minorHAnsi"/>
        </w:rPr>
        <w:t xml:space="preserve"> (KUSP, US$40.3 M)</w:t>
      </w:r>
      <w:r w:rsidRPr="001445F8">
        <w:rPr>
          <w:rFonts w:eastAsia="Times New Roman" w:cstheme="minorHAnsi"/>
        </w:rPr>
        <w:t xml:space="preserve">. </w:t>
      </w:r>
      <w:r w:rsidR="00DD7797" w:rsidRPr="001445F8">
        <w:rPr>
          <w:rFonts w:eastAsia="Times New Roman" w:cstheme="minorHAnsi"/>
        </w:rPr>
        <w:t xml:space="preserve"> This project will draw complementarities and synergies on </w:t>
      </w:r>
      <w:r w:rsidRPr="001445F8">
        <w:rPr>
          <w:rFonts w:eastAsia="Times New Roman" w:cstheme="minorHAnsi"/>
        </w:rPr>
        <w:t>improved capacity of the key institutions at the national, subnational and local levels</w:t>
      </w:r>
      <w:r w:rsidR="00DD7797" w:rsidRPr="001445F8">
        <w:rPr>
          <w:rFonts w:eastAsia="Times New Roman" w:cstheme="minorHAnsi"/>
        </w:rPr>
        <w:t xml:space="preserve">, </w:t>
      </w:r>
      <w:r w:rsidRPr="001445F8">
        <w:rPr>
          <w:rFonts w:eastAsia="Times New Roman" w:cstheme="minorHAnsi"/>
        </w:rPr>
        <w:t xml:space="preserve">strengthening environmental management, improving job opportunities for affected people and monitor feasible environmental and social measures for prioritized contaminated areas. </w:t>
      </w:r>
    </w:p>
    <w:p w14:paraId="004D83C1" w14:textId="77777777" w:rsidR="001445F8" w:rsidRPr="001445F8" w:rsidRDefault="001445F8" w:rsidP="001445F8">
      <w:pPr>
        <w:pStyle w:val="ListParagraph"/>
        <w:rPr>
          <w:rFonts w:cstheme="minorHAnsi"/>
        </w:rPr>
      </w:pPr>
    </w:p>
    <w:p w14:paraId="2E6AD5A0" w14:textId="77777777" w:rsidR="001445F8" w:rsidRPr="001445F8" w:rsidRDefault="001445F8" w:rsidP="001445F8">
      <w:pPr>
        <w:pStyle w:val="ListParagraph"/>
        <w:widowControl w:val="0"/>
        <w:autoSpaceDE w:val="0"/>
        <w:autoSpaceDN w:val="0"/>
        <w:adjustRightInd w:val="0"/>
        <w:spacing w:before="120" w:after="0" w:line="240" w:lineRule="auto"/>
        <w:ind w:left="3"/>
        <w:jc w:val="both"/>
        <w:rPr>
          <w:rFonts w:cstheme="minorHAnsi"/>
        </w:rPr>
      </w:pPr>
    </w:p>
    <w:p w14:paraId="437F8CF8" w14:textId="77777777" w:rsidR="00D70D43" w:rsidRPr="00554AB1" w:rsidRDefault="00D70D43" w:rsidP="00D70D43">
      <w:pPr>
        <w:spacing w:before="120"/>
        <w:ind w:left="-432"/>
        <w:jc w:val="both"/>
        <w:rPr>
          <w:rFonts w:cstheme="minorHAnsi"/>
        </w:rPr>
      </w:pPr>
      <w:r w:rsidRPr="00554AB1">
        <w:rPr>
          <w:rFonts w:cstheme="minorHAnsi"/>
          <w:b/>
        </w:rPr>
        <w:t>F. Lessons Learned and Reflected in the Project Design</w:t>
      </w:r>
    </w:p>
    <w:p w14:paraId="0F4FF0C2"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EHPMP will complement other regional initiatives and individual projects. The EHPMP will complement other regional and individual projects that the Bank supports in line with the CPF’s focus on competitiveness, sustainability, and governance. Examples of such projects includes UNEP’s Integrated Health and Environment Observatories and Legal and Institutional Strengthening for the Sound Management of Chemicals in Africa (African </w:t>
      </w:r>
      <w:proofErr w:type="spellStart"/>
      <w:r w:rsidRPr="00554AB1">
        <w:rPr>
          <w:rFonts w:cstheme="minorHAnsi"/>
        </w:rPr>
        <w:t>ChemObs</w:t>
      </w:r>
      <w:proofErr w:type="spellEnd"/>
      <w:r w:rsidRPr="00554AB1">
        <w:rPr>
          <w:rFonts w:cstheme="minorHAnsi"/>
        </w:rPr>
        <w:t xml:space="preserve">) program. </w:t>
      </w:r>
      <w:proofErr w:type="spellStart"/>
      <w:r w:rsidRPr="00554AB1">
        <w:rPr>
          <w:rFonts w:cstheme="minorHAnsi"/>
        </w:rPr>
        <w:t>ChemObs</w:t>
      </w:r>
      <w:proofErr w:type="spellEnd"/>
      <w:r w:rsidRPr="00554AB1">
        <w:rPr>
          <w:rFonts w:cstheme="minorHAnsi"/>
        </w:rPr>
        <w:t xml:space="preserve"> has held its national inception workshop in July 2018.</w:t>
      </w:r>
    </w:p>
    <w:p w14:paraId="08D3F86E" w14:textId="77777777" w:rsidR="00D70D43" w:rsidRPr="00554AB1" w:rsidRDefault="00D70D43" w:rsidP="00D70D43">
      <w:pPr>
        <w:pStyle w:val="ListParagraph"/>
        <w:spacing w:before="120"/>
        <w:ind w:left="3"/>
        <w:jc w:val="both"/>
        <w:rPr>
          <w:rFonts w:cstheme="minorHAnsi"/>
        </w:rPr>
      </w:pPr>
    </w:p>
    <w:p w14:paraId="46EE3F0B"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need for a regional approach is predicated not only on the physical transboundary nature of mercury and POPs emissions and impacts, but on regional opportunities for solutions and regional causes for mismanagement. The preparatory studies and assessments carried out through the GEF-funded MSP on “Reducing Environmental Health Impact of Harmful Chemicals in Africa Region” and under the World Bank’s Pollution Management and Environmental Health (PMEH) program validate a regional approach to addressing these issues. For example, the recently commissioned Mercury Trade study, under the GEF-MSP, revealed a significant gap between the estimated consumption of mercury and official imports, indicating that there is major illegal trade across African countries. Illegal traffic is also prevalent with electronic waste. </w:t>
      </w:r>
    </w:p>
    <w:p w14:paraId="3CF573D8" w14:textId="77777777" w:rsidR="00D70D43" w:rsidRPr="00554AB1" w:rsidRDefault="00D70D43" w:rsidP="00D70D43">
      <w:pPr>
        <w:pStyle w:val="ListParagraph"/>
        <w:rPr>
          <w:rFonts w:cstheme="minorHAnsi"/>
        </w:rPr>
      </w:pPr>
    </w:p>
    <w:p w14:paraId="2F6A000F"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Case studies in Côte d’Ivoire, Kenya and Senegal as part of the overall effort to gain further insight into a range of specific issues facing countries </w:t>
      </w:r>
      <w:proofErr w:type="gramStart"/>
      <w:r w:rsidRPr="00554AB1">
        <w:rPr>
          <w:rFonts w:cstheme="minorHAnsi"/>
        </w:rPr>
        <w:t>with regard to</w:t>
      </w:r>
      <w:proofErr w:type="gramEnd"/>
      <w:r w:rsidRPr="00554AB1">
        <w:rPr>
          <w:rFonts w:cstheme="minorHAnsi"/>
        </w:rPr>
        <w:t xml:space="preserve"> e-waste identified lessons that can be applied to future recommendations. While the three country case studies were necessarily limited in scope, they yielded valuable information. See paragraphs 30 - 35.</w:t>
      </w:r>
    </w:p>
    <w:p w14:paraId="10910A15" w14:textId="77777777" w:rsidR="00D70D43" w:rsidRPr="00554AB1" w:rsidRDefault="00D70D43" w:rsidP="00D70D43">
      <w:pPr>
        <w:pStyle w:val="ListParagraph"/>
        <w:rPr>
          <w:rFonts w:cstheme="minorHAnsi"/>
        </w:rPr>
      </w:pPr>
    </w:p>
    <w:p w14:paraId="273C77CF"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Addressing lack of existing data on e-waste. While there are </w:t>
      </w:r>
      <w:proofErr w:type="gramStart"/>
      <w:r w:rsidRPr="00554AB1">
        <w:rPr>
          <w:rFonts w:cstheme="minorHAnsi"/>
        </w:rPr>
        <w:t>a number of</w:t>
      </w:r>
      <w:proofErr w:type="gramEnd"/>
      <w:r w:rsidRPr="00554AB1">
        <w:rPr>
          <w:rFonts w:cstheme="minorHAnsi"/>
        </w:rPr>
        <w:t xml:space="preserve"> cross-cutting issues which are seen in all three countries, perhaps the most salient is the lack of existing data on e-waste.  There was little to no data available in the areas of the import/origin of e-waste; quantities of waste; end of life storage and disposal; the size of the informal sector and its impact economically and on human and environmental health.  Some of this is due to the difficulties faced by Customs officials in tracking incoming second-hand EEE and e-waste.  In some cases, this is due to a lack of monitoring systems, on others the authority or capacity to enforce them. </w:t>
      </w:r>
    </w:p>
    <w:p w14:paraId="55CD122B" w14:textId="77777777" w:rsidR="00D70D43" w:rsidRPr="00554AB1" w:rsidRDefault="00D70D43" w:rsidP="00D70D43">
      <w:pPr>
        <w:pStyle w:val="ListParagraph"/>
        <w:rPr>
          <w:rFonts w:cstheme="minorHAnsi"/>
        </w:rPr>
      </w:pPr>
    </w:p>
    <w:p w14:paraId="373EF0E2"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need for use of comprehensive national inventories. The countries in the study recognized the need for comprehensive national inventories and Kenya, for example, has set this as a key priority using a participatory approach for the inventory as designed and implemented by NEMA. In addition to be a data issue, Kenya, among other countries faced the common difficulties of illegal import of e-waste under the category of second-hand goods; the flouting of Basel Convention regulations by ‘importers;’ tracking the flow of product over borders in personal luggage or other smuggling operations; unclear or poor labeling standards in export countries; under-funded and under-trained Customs, etc. This lack of data in these countries also stems, in part, from another issue common to each of the three countries – weak or non-existent legislation, regulation and policy that hampers the ability of government agencies to monitor and manage e-waste effectively. Kenya’s legislation (Draft Electronic Waste Regulations 2013) while not yet in force goes a long way in creating a legislative and regulatory environment in which up and downstream issues of e-waste are </w:t>
      </w:r>
      <w:proofErr w:type="gramStart"/>
      <w:r w:rsidRPr="00554AB1">
        <w:rPr>
          <w:rFonts w:cstheme="minorHAnsi"/>
        </w:rPr>
        <w:t>taken into account</w:t>
      </w:r>
      <w:proofErr w:type="gramEnd"/>
      <w:r w:rsidRPr="00554AB1">
        <w:rPr>
          <w:rFonts w:cstheme="minorHAnsi"/>
        </w:rPr>
        <w:t>.   It also establishes the appropriate authority for agencies to establish and monitor systems which can, in time, begin to fill the data gaps as well as address serious adverse impacts on environment and human health and welfare.  The draft regulations provide a possible way forward on legislating the full life cycle of product to waste, including inter alia, registering EEE producers, requiring compliance certification, information exchange on end of life processing between producers and recyclers, control of disposal and recycling methods, etc.  A key factor as Kenya moves forward will be ensuring that, once published in the official gazette, the regulations have the budget and force to move them beyond paper to reality.</w:t>
      </w:r>
    </w:p>
    <w:p w14:paraId="04ABF236" w14:textId="77777777" w:rsidR="00D70D43" w:rsidRPr="00554AB1" w:rsidRDefault="00D70D43" w:rsidP="00D70D43">
      <w:pPr>
        <w:pStyle w:val="ListParagraph"/>
        <w:spacing w:before="120"/>
        <w:ind w:left="3"/>
        <w:jc w:val="both"/>
        <w:rPr>
          <w:rFonts w:cstheme="minorHAnsi"/>
        </w:rPr>
      </w:pPr>
    </w:p>
    <w:p w14:paraId="5377A881"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Financial resources for enforcement authority of e-waste specific legislation. The three case study </w:t>
      </w:r>
      <w:r w:rsidRPr="00554AB1">
        <w:rPr>
          <w:rFonts w:cstheme="minorHAnsi"/>
        </w:rPr>
        <w:lastRenderedPageBreak/>
        <w:t xml:space="preserve">countries also indicated a lack of financial resources to carry out what enforcement authority they did have. E-waste specific legislation could also enhance the clarity and importance of budget allocations for successful management of the issue across sectors.  </w:t>
      </w:r>
    </w:p>
    <w:p w14:paraId="3088411E" w14:textId="77777777" w:rsidR="00D70D43" w:rsidRPr="00554AB1" w:rsidRDefault="00D70D43" w:rsidP="00D70D43">
      <w:pPr>
        <w:pStyle w:val="ListParagraph"/>
        <w:rPr>
          <w:rFonts w:cstheme="minorHAnsi"/>
        </w:rPr>
      </w:pPr>
    </w:p>
    <w:p w14:paraId="7636F71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important role of the private sector. There are at least some examples in each of the countries of the private sector stepping forward to partner with the public sector and/or civil society to work on a range of issue </w:t>
      </w:r>
      <w:proofErr w:type="gramStart"/>
      <w:r w:rsidRPr="00554AB1">
        <w:rPr>
          <w:rFonts w:cstheme="minorHAnsi"/>
        </w:rPr>
        <w:t>with regard to</w:t>
      </w:r>
      <w:proofErr w:type="gramEnd"/>
      <w:r w:rsidRPr="00554AB1">
        <w:rPr>
          <w:rFonts w:cstheme="minorHAnsi"/>
        </w:rPr>
        <w:t xml:space="preserve"> e-waste.  In Côte d’Ivoire and Kenya, for example, Hewlett-Packard has been instrumental in establishing, or developing, recycling centers to improve the safety and return on e-waste processing.  A key question though given the common qualities of the existing ‘processing sectors’ in each country, e.g., informal and small-scale, with often marginalized or uneducated workers is how to improve the safety and sustainability of the e-waste recycling/reprocessing sector while safeguarding, and hopefully improving, workers’ financial return.</w:t>
      </w:r>
    </w:p>
    <w:p w14:paraId="35B1E301" w14:textId="77777777" w:rsidR="00D70D43" w:rsidRPr="00554AB1" w:rsidRDefault="00D70D43" w:rsidP="00D70D43">
      <w:pPr>
        <w:pStyle w:val="ListParagraph"/>
        <w:rPr>
          <w:rFonts w:cstheme="minorHAnsi"/>
        </w:rPr>
      </w:pPr>
    </w:p>
    <w:p w14:paraId="045E794E"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Civil society stepping in where key gaps exist. As shown in all three countries, civil society has often tried to step in where a gap existed </w:t>
      </w:r>
      <w:proofErr w:type="gramStart"/>
      <w:r w:rsidRPr="00554AB1">
        <w:rPr>
          <w:rFonts w:cstheme="minorHAnsi"/>
        </w:rPr>
        <w:t>with regard to</w:t>
      </w:r>
      <w:proofErr w:type="gramEnd"/>
      <w:r w:rsidRPr="00554AB1">
        <w:rPr>
          <w:rFonts w:cstheme="minorHAnsi"/>
        </w:rPr>
        <w:t xml:space="preserve"> collection or management of e-waste, research, data collection, awareness raising, etc.  Examples of this include NGOs engaging in e-waste collection activities in Côte d’Ivoire and Kenya or in pre-treatment centers in Senegal.  It will be important to ensure that the important role for civil society continues as countries move forward with a more coordinated approach to green ICT and e-waste management. </w:t>
      </w:r>
    </w:p>
    <w:p w14:paraId="376053F1" w14:textId="77777777" w:rsidR="00D70D43" w:rsidRPr="00554AB1" w:rsidRDefault="00D70D43" w:rsidP="00D70D43">
      <w:pPr>
        <w:pStyle w:val="ListParagraph"/>
        <w:rPr>
          <w:rFonts w:cstheme="minorHAnsi"/>
        </w:rPr>
      </w:pPr>
    </w:p>
    <w:p w14:paraId="05811DA5"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Possibilities for greening the ICT and e-waste recycling sectors and creating potential for further employment/green jobs. The three case studies have shown that the possibilities for greening the ICT and e-waste recycling sectors and creating the potential for further employment/green jobs, is a possibility.  According to the flow analysis and estimates, e-waste volumes are still manageable, though growing.  It is possible to act in the shorter term to establish better functioning, integrated management systems, while preparing for an economically sustainable flow of recyclable material (on a sub-regional basis, most likely) in the longer term.  Despite the current difficulties and challenges faced by these and other countries in the region, the overall future and the trend in PPP initiatives and improved legislative guidance, as seen in Kenya, are encouraging signs for the way forward.</w:t>
      </w:r>
    </w:p>
    <w:p w14:paraId="455AF54B" w14:textId="77777777" w:rsidR="00D70D43" w:rsidRPr="00554AB1" w:rsidRDefault="00D70D43" w:rsidP="00D70D43">
      <w:pPr>
        <w:pStyle w:val="ListParagraph"/>
        <w:rPr>
          <w:rFonts w:cstheme="minorHAnsi"/>
        </w:rPr>
      </w:pPr>
    </w:p>
    <w:p w14:paraId="4D811A7B"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 xml:space="preserve">The Program will establish a virtual platform for regional partnerships and policy dialogue, knowledge management and communication, will leverage lessons learned and disseminate information, tools, and techniques to scale up best practices. It aims to bring together environmental regulators and urban municipal councils with jurisdiction over the contaminated land. The investments, institution and information ideas proposed under the Program to tackle the environmental health issues have been discussed in a significant high-level roundtable with various interested countries, namely, the Governments of Ghana, Tanzania, Zambia, Kenya, and Senegal and with the USEPA, NRDC, UNDP, UNIDO, UNEP, industry associations, and Non-Governmental Organizations. </w:t>
      </w:r>
    </w:p>
    <w:p w14:paraId="6CE1D186" w14:textId="77777777" w:rsidR="00D70D43" w:rsidRPr="00554AB1" w:rsidRDefault="00D70D43" w:rsidP="00D70D43">
      <w:pPr>
        <w:pStyle w:val="ListParagraph"/>
        <w:rPr>
          <w:rFonts w:cstheme="minorHAnsi"/>
        </w:rPr>
      </w:pPr>
    </w:p>
    <w:p w14:paraId="2E2FF0A6"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The design of the EHPM Program draws lessons from the Community Artisanal and Small-Scale Mining (CASM) initiative specifically to inform the approach to the global ASM support. These inter alia include: Strengthening of Information and knowledge sharing; Enhancing regional and global partnerships to share services, capacity building and tools tailored for the specific needs of stakeholders; Monitoring and Evaluation to follow up on progress of information sharing and improve accountability; and Collaboration both within and outside the World Bank Group.</w:t>
      </w:r>
    </w:p>
    <w:p w14:paraId="002FEA99" w14:textId="77777777" w:rsidR="00D70D43" w:rsidRPr="00554AB1" w:rsidRDefault="00D70D43" w:rsidP="00D70D43">
      <w:pPr>
        <w:pStyle w:val="ListParagraph"/>
        <w:rPr>
          <w:rFonts w:cstheme="minorHAnsi"/>
        </w:rPr>
      </w:pPr>
    </w:p>
    <w:p w14:paraId="49479E56"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The EHPMP will work closely with local communities and community-based organizations who are invested in and benefit from current practices in solid and electronic waste management sectors.</w:t>
      </w:r>
    </w:p>
    <w:p w14:paraId="5B923045" w14:textId="77777777" w:rsidR="00D70D43" w:rsidRPr="00554AB1" w:rsidRDefault="00D70D43" w:rsidP="00D70D43">
      <w:pPr>
        <w:ind w:right="-432"/>
        <w:mirrorIndents/>
        <w:rPr>
          <w:rFonts w:eastAsia="Calibri" w:cstheme="minorHAnsi"/>
        </w:rPr>
      </w:pPr>
    </w:p>
    <w:p w14:paraId="1252A5EE" w14:textId="77777777" w:rsidR="00D70D43" w:rsidRPr="00554AB1" w:rsidRDefault="00D70D43" w:rsidP="00D70D43">
      <w:pPr>
        <w:tabs>
          <w:tab w:val="left" w:pos="0"/>
        </w:tabs>
        <w:ind w:left="-432" w:right="-432"/>
        <w:mirrorIndents/>
        <w:jc w:val="both"/>
        <w:rPr>
          <w:rFonts w:eastAsia="Times New Roman" w:cstheme="minorHAnsi"/>
          <w:b/>
          <w:bCs/>
        </w:rPr>
      </w:pPr>
      <w:r w:rsidRPr="00554AB1">
        <w:rPr>
          <w:rFonts w:eastAsia="Times New Roman" w:cstheme="minorHAnsi"/>
          <w:b/>
          <w:bCs/>
        </w:rPr>
        <w:t>IMPLEMENTATION ARRANGEMENTS</w:t>
      </w:r>
    </w:p>
    <w:p w14:paraId="07B44D4B" w14:textId="77777777" w:rsidR="00D70D43" w:rsidRPr="00554AB1" w:rsidRDefault="00D70D43" w:rsidP="00D70D43">
      <w:pPr>
        <w:tabs>
          <w:tab w:val="left" w:pos="0"/>
        </w:tabs>
        <w:ind w:left="-432" w:right="-432"/>
        <w:mirrorIndents/>
        <w:jc w:val="both"/>
        <w:rPr>
          <w:rFonts w:eastAsia="Times New Roman" w:cstheme="minorHAnsi"/>
          <w:b/>
          <w:bCs/>
        </w:rPr>
      </w:pPr>
    </w:p>
    <w:p w14:paraId="2B05E1B5"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A – Institutional and Implementation Arrangements</w:t>
      </w:r>
    </w:p>
    <w:p w14:paraId="1BB09DB8"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rPr>
        <w:t>The regional coordination project (ASA) will provide the overall guidance and oversight for the individual projects. The regional coordination project will establish the coordination framework for the Program and will enable a sustained communication with and among Program stakeholders through stakeholder consultations at the national and regional levels to support all components. A Program Steering Committee (PSC) with representation from key partners and stakeholders will be established as an advisory mechanism to maximize projects’ synergies and support the design of activities and implementation of the overall Program. The PSC will have a secretariat with representatives of all participating countries.  High-level meeting will be organized on a semi-annual basis for coordination of policies and implementation of program measures towards meeting countries’ commitments under MBAs. The main role of the PSC is to provide a coordination forum, serve as a monitoring platform across projects and Program activities. The PSC will ensure technical alignment and synergy between the Program's components to allow cross-fertilization.</w:t>
      </w:r>
    </w:p>
    <w:p w14:paraId="619F61D3" w14:textId="77777777" w:rsidR="00D70D43" w:rsidRPr="00554AB1" w:rsidRDefault="00D70D43" w:rsidP="00D70D43">
      <w:pPr>
        <w:ind w:left="-634"/>
        <w:contextualSpacing/>
        <w:jc w:val="center"/>
        <w:rPr>
          <w:rFonts w:eastAsia="Times New Roman" w:cstheme="minorHAnsi"/>
        </w:rPr>
      </w:pPr>
      <w:r w:rsidRPr="00554AB1">
        <w:rPr>
          <w:rFonts w:eastAsia="Times New Roman" w:cstheme="minorHAnsi"/>
          <w:noProof/>
        </w:rPr>
        <mc:AlternateContent>
          <mc:Choice Requires="wps">
            <w:drawing>
              <wp:anchor distT="0" distB="0" distL="114300" distR="114300" simplePos="0" relativeHeight="251669504" behindDoc="0" locked="0" layoutInCell="1" allowOverlap="1" wp14:anchorId="71819333" wp14:editId="12F908D9">
                <wp:simplePos x="0" y="0"/>
                <wp:positionH relativeFrom="column">
                  <wp:posOffset>2228850</wp:posOffset>
                </wp:positionH>
                <wp:positionV relativeFrom="paragraph">
                  <wp:posOffset>419735</wp:posOffset>
                </wp:positionV>
                <wp:extent cx="241300" cy="0"/>
                <wp:effectExtent l="38100" t="76200" r="0" b="114300"/>
                <wp:wrapNone/>
                <wp:docPr id="2" name="Connector: Elbow 2"/>
                <wp:cNvGraphicFramePr/>
                <a:graphic xmlns:a="http://schemas.openxmlformats.org/drawingml/2006/main">
                  <a:graphicData uri="http://schemas.microsoft.com/office/word/2010/wordprocessingShape">
                    <wps:wsp>
                      <wps:cNvCnPr/>
                      <wps:spPr>
                        <a:xfrm>
                          <a:off x="0" y="0"/>
                          <a:ext cx="241300" cy="0"/>
                        </a:xfrm>
                        <a:prstGeom prst="bentConnector3">
                          <a:avLst/>
                        </a:prstGeom>
                        <a:noFill/>
                        <a:ln w="6350">
                          <a:solidFill>
                            <a:srgbClr val="4472C4"/>
                          </a:solidFill>
                          <a:miter lim="800000"/>
                          <a:headEnd type="arrow"/>
                          <a:tailEnd/>
                        </a:ln>
                        <a:effectLst/>
                      </wps:spPr>
                      <wps:bodyPr/>
                    </wps:wsp>
                  </a:graphicData>
                </a:graphic>
              </wp:anchor>
            </w:drawing>
          </mc:Choice>
          <mc:Fallback>
            <w:pict>
              <v:shape w14:anchorId="1B43827A" id="Connector: Elbow 2" o:spid="_x0000_s1026" type="#_x0000_t34" style="position:absolute;margin-left:175.5pt;margin-top:33.05pt;width:19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" strokecolor="#4472c4" strokeweight=".5pt">
                <v:stroke startarrow="open"/>
              </v:shape>
            </w:pict>
          </mc:Fallback>
        </mc:AlternateContent>
      </w:r>
      <w:r w:rsidRPr="00554AB1">
        <w:rPr>
          <w:rFonts w:eastAsia="Times New Roman" w:cstheme="minorHAnsi"/>
          <w:noProof/>
        </w:rPr>
        <mc:AlternateContent>
          <mc:Choice Requires="wps">
            <w:drawing>
              <wp:anchor distT="0" distB="0" distL="114300" distR="114300" simplePos="0" relativeHeight="251668480" behindDoc="0" locked="0" layoutInCell="1" allowOverlap="1" wp14:anchorId="76D52BB2" wp14:editId="6AFA34B6">
                <wp:simplePos x="0" y="0"/>
                <wp:positionH relativeFrom="column">
                  <wp:posOffset>2235200</wp:posOffset>
                </wp:positionH>
                <wp:positionV relativeFrom="paragraph">
                  <wp:posOffset>1207135</wp:posOffset>
                </wp:positionV>
                <wp:extent cx="241300" cy="0"/>
                <wp:effectExtent l="38100" t="76200" r="0" b="114300"/>
                <wp:wrapNone/>
                <wp:docPr id="6" name="Connector: Elbow 6"/>
                <wp:cNvGraphicFramePr/>
                <a:graphic xmlns:a="http://schemas.openxmlformats.org/drawingml/2006/main">
                  <a:graphicData uri="http://schemas.microsoft.com/office/word/2010/wordprocessingShape">
                    <wps:wsp>
                      <wps:cNvCnPr/>
                      <wps:spPr>
                        <a:xfrm>
                          <a:off x="0" y="0"/>
                          <a:ext cx="241300" cy="0"/>
                        </a:xfrm>
                        <a:prstGeom prst="bentConnector3">
                          <a:avLst/>
                        </a:prstGeom>
                        <a:noFill/>
                        <a:ln w="6350">
                          <a:solidFill>
                            <a:srgbClr val="4472C4"/>
                          </a:solidFill>
                          <a:miter lim="800000"/>
                          <a:headEnd type="arrow"/>
                          <a:tailEnd/>
                        </a:ln>
                        <a:effectLst/>
                      </wps:spPr>
                      <wps:bodyPr/>
                    </wps:wsp>
                  </a:graphicData>
                </a:graphic>
              </wp:anchor>
            </w:drawing>
          </mc:Choice>
          <mc:Fallback>
            <w:pict>
              <v:shape w14:anchorId="1DA243AD" id="Connector: Elbow 6" o:spid="_x0000_s1026" type="#_x0000_t34" style="position:absolute;margin-left:176pt;margin-top:95.05pt;width:19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" strokecolor="#4472c4" strokeweight=".5pt">
                <v:stroke startarrow="open"/>
              </v:shape>
            </w:pict>
          </mc:Fallback>
        </mc:AlternateContent>
      </w:r>
      <w:r w:rsidRPr="00554AB1">
        <w:rPr>
          <w:rFonts w:eastAsia="Times New Roman" w:cstheme="minorHAnsi"/>
          <w:noProof/>
        </w:rPr>
        <w:drawing>
          <wp:inline distT="0" distB="0" distL="0" distR="0" wp14:anchorId="1BC51D6F" wp14:editId="7406F3C7">
            <wp:extent cx="3536950" cy="1860550"/>
            <wp:effectExtent l="19050" t="0" r="25400" b="0"/>
            <wp:docPr id="235" name="Diagram 23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1" r:lo="rId22" r:qs="rId23" r:cs="rId24"/>
              </a:graphicData>
            </a:graphic>
          </wp:inline>
        </w:drawing>
      </w:r>
    </w:p>
    <w:p w14:paraId="3A78CE85" w14:textId="77777777" w:rsidR="00D70D43" w:rsidRPr="00554AB1" w:rsidRDefault="00D70D43" w:rsidP="00D70D43">
      <w:pPr>
        <w:ind w:left="-634"/>
        <w:contextualSpacing/>
        <w:jc w:val="center"/>
        <w:rPr>
          <w:rFonts w:eastAsia="Times New Roman" w:cstheme="minorHAnsi"/>
        </w:rPr>
      </w:pPr>
      <w:r w:rsidRPr="00554AB1">
        <w:rPr>
          <w:rFonts w:eastAsia="Times New Roman" w:cstheme="minorHAnsi"/>
        </w:rPr>
        <w:t>Figure 1: EHPMP Kenya - Draft implementation structure</w:t>
      </w:r>
    </w:p>
    <w:p w14:paraId="47978940" w14:textId="77777777" w:rsidR="00D70D43" w:rsidRPr="00554AB1" w:rsidRDefault="00D70D43" w:rsidP="00D70D43">
      <w:pPr>
        <w:spacing w:before="120"/>
        <w:ind w:right="-432"/>
        <w:contextualSpacing/>
        <w:mirrorIndents/>
        <w:jc w:val="both"/>
        <w:rPr>
          <w:rFonts w:cstheme="minorHAnsi"/>
        </w:rPr>
      </w:pPr>
    </w:p>
    <w:p w14:paraId="1B793A4A"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cstheme="minorHAnsi"/>
          <w:b/>
        </w:rPr>
        <w:t>The Ministry of Environment and Forests and its subsidiary agency National Management Agency (NEMA) will be the leading the project implementation.</w:t>
      </w:r>
      <w:r w:rsidRPr="00554AB1">
        <w:rPr>
          <w:rFonts w:cstheme="minorHAnsi"/>
        </w:rPr>
        <w:t xml:space="preserve"> Both have a legislative mandate that provides authority with regards to management and control of e-waste. The Ministry of Environment has the mandate to promote, monitor and coordinate environmental activities and enforce compliance of environmental regulations and guidelines. Other stakeholders who will participate in the consultative process under Component 1 activities and will be the beneficiaries of the capacity building activities under Component 2 include:</w:t>
      </w:r>
    </w:p>
    <w:p w14:paraId="14BDDACA" w14:textId="77777777" w:rsidR="00D70D43" w:rsidRPr="00554AB1" w:rsidRDefault="00D70D43" w:rsidP="00D70D43">
      <w:pPr>
        <w:jc w:val="both"/>
        <w:rPr>
          <w:rFonts w:eastAsia="Calibri" w:cstheme="minorHAnsi"/>
        </w:rPr>
      </w:pPr>
    </w:p>
    <w:tbl>
      <w:tblPr>
        <w:tblW w:w="0" w:type="auto"/>
        <w:tblInd w:w="-280" w:type="dxa"/>
        <w:tblCellMar>
          <w:left w:w="0" w:type="dxa"/>
          <w:right w:w="0" w:type="dxa"/>
        </w:tblCellMar>
        <w:tblLook w:val="04A0" w:firstRow="1" w:lastRow="0" w:firstColumn="1" w:lastColumn="0" w:noHBand="0" w:noVBand="1"/>
      </w:tblPr>
      <w:tblGrid>
        <w:gridCol w:w="3759"/>
        <w:gridCol w:w="5861"/>
      </w:tblGrid>
      <w:tr w:rsidR="00D70D43" w:rsidRPr="00554AB1" w14:paraId="3C9BD524" w14:textId="77777777" w:rsidTr="007463F5">
        <w:tc>
          <w:tcPr>
            <w:tcW w:w="37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27F29CF" w14:textId="77777777" w:rsidR="00D70D43" w:rsidRPr="00554AB1" w:rsidRDefault="00D70D43" w:rsidP="007463F5">
            <w:pPr>
              <w:spacing w:after="120"/>
              <w:jc w:val="both"/>
              <w:rPr>
                <w:rFonts w:eastAsia="Calibri" w:cstheme="minorHAnsi"/>
                <w:b/>
                <w:iCs/>
              </w:rPr>
            </w:pPr>
            <w:r w:rsidRPr="00554AB1">
              <w:rPr>
                <w:rFonts w:eastAsia="Calibri" w:cstheme="minorHAnsi"/>
                <w:b/>
                <w:iCs/>
              </w:rPr>
              <w:t>Name of the Implementing Agency</w:t>
            </w:r>
          </w:p>
        </w:tc>
        <w:tc>
          <w:tcPr>
            <w:tcW w:w="5861"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7373CD67" w14:textId="77777777" w:rsidR="00D70D43" w:rsidRPr="00554AB1" w:rsidRDefault="00D70D43" w:rsidP="007463F5">
            <w:pPr>
              <w:spacing w:after="120"/>
              <w:jc w:val="both"/>
              <w:rPr>
                <w:rFonts w:eastAsia="Calibri" w:cstheme="minorHAnsi"/>
                <w:b/>
                <w:iCs/>
              </w:rPr>
            </w:pPr>
            <w:r w:rsidRPr="00554AB1">
              <w:rPr>
                <w:rFonts w:eastAsia="Calibri" w:cstheme="minorHAnsi"/>
                <w:b/>
                <w:iCs/>
              </w:rPr>
              <w:t>Implementation Role</w:t>
            </w:r>
          </w:p>
        </w:tc>
      </w:tr>
      <w:tr w:rsidR="00D70D43" w:rsidRPr="00554AB1" w14:paraId="6986C5C5"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4C8F22" w14:textId="77777777" w:rsidR="00D70D43" w:rsidRPr="00554AB1" w:rsidRDefault="00D70D43" w:rsidP="007463F5">
            <w:pPr>
              <w:spacing w:after="120"/>
              <w:jc w:val="both"/>
              <w:rPr>
                <w:rFonts w:eastAsia="Calibri" w:cstheme="minorHAnsi"/>
              </w:rPr>
            </w:pPr>
            <w:r w:rsidRPr="00554AB1">
              <w:rPr>
                <w:rFonts w:eastAsia="Calibri" w:cstheme="minorHAnsi"/>
              </w:rPr>
              <w:lastRenderedPageBreak/>
              <w:t>Ministry of Industry, Trade and Cooperatives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11BE903" w14:textId="77777777" w:rsidR="00D70D43" w:rsidRPr="00554AB1" w:rsidRDefault="00D70D43" w:rsidP="007463F5">
            <w:pPr>
              <w:spacing w:after="120"/>
              <w:jc w:val="both"/>
              <w:rPr>
                <w:rFonts w:eastAsia="Calibri" w:cstheme="minorHAnsi"/>
              </w:rPr>
            </w:pPr>
            <w:r w:rsidRPr="00554AB1">
              <w:rPr>
                <w:rFonts w:eastAsia="Calibri" w:cstheme="minorHAnsi"/>
              </w:rPr>
              <w:t>Policy formulation on IT Sector development</w:t>
            </w:r>
          </w:p>
          <w:p w14:paraId="16C6F3E1" w14:textId="77777777" w:rsidR="00D70D43" w:rsidRPr="00554AB1" w:rsidRDefault="00D70D43" w:rsidP="007463F5">
            <w:pPr>
              <w:spacing w:after="120"/>
              <w:jc w:val="both"/>
              <w:rPr>
                <w:rFonts w:eastAsia="Calibri" w:cstheme="minorHAnsi"/>
              </w:rPr>
            </w:pPr>
            <w:r w:rsidRPr="00554AB1">
              <w:rPr>
                <w:rFonts w:eastAsia="Calibri" w:cstheme="minorHAnsi"/>
              </w:rPr>
              <w:t xml:space="preserve">Focal point on project activities under industrial level </w:t>
            </w:r>
          </w:p>
        </w:tc>
      </w:tr>
      <w:tr w:rsidR="00D70D43" w:rsidRPr="00554AB1" w14:paraId="752C73BE"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25DF7E5" w14:textId="77777777" w:rsidR="00D70D43" w:rsidRPr="00554AB1" w:rsidRDefault="00D70D43" w:rsidP="007463F5">
            <w:pPr>
              <w:spacing w:after="120"/>
              <w:jc w:val="both"/>
              <w:rPr>
                <w:rFonts w:eastAsia="Calibri" w:cstheme="minorHAnsi"/>
              </w:rPr>
            </w:pPr>
            <w:r w:rsidRPr="00554AB1">
              <w:rPr>
                <w:rFonts w:eastAsia="Calibri" w:cstheme="minorHAnsi"/>
              </w:rPr>
              <w:t>Ministry of Health</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19FC0A86" w14:textId="77777777" w:rsidR="00D70D43" w:rsidRPr="00554AB1" w:rsidRDefault="00D70D43" w:rsidP="007463F5">
            <w:pPr>
              <w:spacing w:after="120"/>
              <w:jc w:val="both"/>
              <w:rPr>
                <w:rFonts w:eastAsia="Calibri" w:cstheme="minorHAnsi"/>
              </w:rPr>
            </w:pPr>
            <w:r w:rsidRPr="00554AB1">
              <w:rPr>
                <w:rFonts w:eastAsia="Calibri" w:cstheme="minorHAnsi"/>
              </w:rPr>
              <w:t>Policy formulation on e-waste management</w:t>
            </w:r>
          </w:p>
        </w:tc>
      </w:tr>
      <w:tr w:rsidR="00D70D43" w:rsidRPr="00554AB1" w14:paraId="58206813"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6141A6" w14:textId="77777777" w:rsidR="00D70D43" w:rsidRPr="00554AB1" w:rsidRDefault="00D70D43" w:rsidP="007463F5">
            <w:pPr>
              <w:spacing w:after="120"/>
              <w:jc w:val="both"/>
              <w:rPr>
                <w:rFonts w:eastAsia="Calibri" w:cstheme="minorHAnsi"/>
              </w:rPr>
            </w:pPr>
            <w:r w:rsidRPr="00554AB1">
              <w:rPr>
                <w:rFonts w:eastAsia="Calibri" w:cstheme="minorHAnsi"/>
              </w:rPr>
              <w:t>Ministry of ICT</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3F20606F" w14:textId="77777777" w:rsidR="00D70D43" w:rsidRPr="00554AB1" w:rsidRDefault="00D70D43" w:rsidP="007463F5">
            <w:pPr>
              <w:spacing w:after="120"/>
              <w:jc w:val="both"/>
              <w:rPr>
                <w:rFonts w:eastAsia="Calibri" w:cstheme="minorHAnsi"/>
              </w:rPr>
            </w:pPr>
            <w:r w:rsidRPr="00554AB1">
              <w:rPr>
                <w:rFonts w:eastAsia="Calibri" w:cstheme="minorHAnsi"/>
              </w:rPr>
              <w:t>Policy formulation on e-waste management</w:t>
            </w:r>
          </w:p>
        </w:tc>
      </w:tr>
      <w:tr w:rsidR="00D70D43" w:rsidRPr="00554AB1" w14:paraId="51D3A8A9"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45945D" w14:textId="77777777" w:rsidR="00D70D43" w:rsidRPr="00554AB1" w:rsidRDefault="00D70D43" w:rsidP="007463F5">
            <w:pPr>
              <w:spacing w:after="120"/>
              <w:jc w:val="both"/>
              <w:rPr>
                <w:rFonts w:eastAsia="Calibri" w:cstheme="minorHAnsi"/>
              </w:rPr>
            </w:pPr>
            <w:r w:rsidRPr="00554AB1">
              <w:rPr>
                <w:rFonts w:eastAsia="Calibri" w:cstheme="minorHAnsi"/>
              </w:rPr>
              <w:t>Kenya bureau of standards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7E59B076" w14:textId="77777777" w:rsidR="00D70D43" w:rsidRPr="00554AB1" w:rsidRDefault="00D70D43" w:rsidP="007463F5">
            <w:pPr>
              <w:spacing w:after="120"/>
              <w:jc w:val="both"/>
              <w:rPr>
                <w:rFonts w:eastAsia="Calibri" w:cstheme="minorHAnsi"/>
              </w:rPr>
            </w:pPr>
            <w:r w:rsidRPr="00554AB1">
              <w:rPr>
                <w:rFonts w:eastAsia="Calibri" w:cstheme="minorHAnsi"/>
              </w:rPr>
              <w:t>Standards and specifications development for IT sector and e-waste management</w:t>
            </w:r>
          </w:p>
        </w:tc>
      </w:tr>
      <w:tr w:rsidR="00D70D43" w:rsidRPr="00554AB1" w14:paraId="4BD9EACC"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FFA36BC" w14:textId="77777777" w:rsidR="00D70D43" w:rsidRPr="00554AB1" w:rsidRDefault="00D70D43" w:rsidP="007463F5">
            <w:pPr>
              <w:spacing w:after="120"/>
              <w:jc w:val="both"/>
              <w:rPr>
                <w:rFonts w:eastAsia="Calibri" w:cstheme="minorHAnsi"/>
              </w:rPr>
            </w:pPr>
            <w:r w:rsidRPr="00554AB1">
              <w:rPr>
                <w:rFonts w:eastAsia="Calibri" w:cstheme="minorHAnsi"/>
              </w:rPr>
              <w:t>Kenya revenue Authority</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7D128DE1" w14:textId="77777777" w:rsidR="00D70D43" w:rsidRPr="00554AB1" w:rsidRDefault="00D70D43" w:rsidP="007463F5">
            <w:pPr>
              <w:spacing w:after="120"/>
              <w:jc w:val="both"/>
              <w:rPr>
                <w:rFonts w:eastAsia="Calibri" w:cstheme="minorHAnsi"/>
              </w:rPr>
            </w:pPr>
            <w:r w:rsidRPr="00554AB1">
              <w:rPr>
                <w:rFonts w:eastAsia="Calibri" w:cstheme="minorHAnsi"/>
              </w:rPr>
              <w:t>Enforce custom regulations related to import of electronic equipment</w:t>
            </w:r>
          </w:p>
        </w:tc>
      </w:tr>
      <w:tr w:rsidR="00D70D43" w:rsidRPr="00554AB1" w14:paraId="7130E174"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1169E8" w14:textId="77777777" w:rsidR="00D70D43" w:rsidRPr="00554AB1" w:rsidRDefault="00D70D43" w:rsidP="007463F5">
            <w:pPr>
              <w:spacing w:after="120"/>
              <w:jc w:val="both"/>
              <w:rPr>
                <w:rFonts w:eastAsia="Calibri" w:cstheme="minorHAnsi"/>
              </w:rPr>
            </w:pPr>
            <w:r w:rsidRPr="00554AB1">
              <w:rPr>
                <w:rFonts w:eastAsia="Calibri" w:cstheme="minorHAnsi"/>
              </w:rPr>
              <w:t>Ministry of education</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71189BEE" w14:textId="77777777" w:rsidR="00D70D43" w:rsidRPr="00554AB1" w:rsidRDefault="00D70D43" w:rsidP="007463F5">
            <w:pPr>
              <w:spacing w:after="120"/>
              <w:jc w:val="both"/>
              <w:rPr>
                <w:rFonts w:eastAsia="Calibri" w:cstheme="minorHAnsi"/>
              </w:rPr>
            </w:pPr>
            <w:r w:rsidRPr="00554AB1">
              <w:rPr>
                <w:rFonts w:eastAsia="Calibri" w:cstheme="minorHAnsi"/>
              </w:rPr>
              <w:t xml:space="preserve">Take lead on the management of electronics (computers) for schools </w:t>
            </w:r>
          </w:p>
          <w:p w14:paraId="5822F192" w14:textId="77777777" w:rsidR="00D70D43" w:rsidRPr="00554AB1" w:rsidRDefault="00D70D43" w:rsidP="007463F5">
            <w:pPr>
              <w:spacing w:after="120"/>
              <w:jc w:val="both"/>
              <w:rPr>
                <w:rFonts w:eastAsia="Calibri" w:cstheme="minorHAnsi"/>
              </w:rPr>
            </w:pPr>
            <w:r w:rsidRPr="00554AB1">
              <w:rPr>
                <w:rFonts w:eastAsia="Calibri" w:cstheme="minorHAnsi"/>
              </w:rPr>
              <w:t xml:space="preserve">Create awareness on e-waste problem and promote take back scheme for recycling </w:t>
            </w:r>
          </w:p>
          <w:p w14:paraId="4F9A6566" w14:textId="77777777" w:rsidR="00D70D43" w:rsidRPr="00554AB1" w:rsidRDefault="00D70D43" w:rsidP="007463F5">
            <w:pPr>
              <w:spacing w:after="120"/>
              <w:jc w:val="both"/>
              <w:rPr>
                <w:rFonts w:eastAsia="Calibri" w:cstheme="minorHAnsi"/>
              </w:rPr>
            </w:pPr>
            <w:r w:rsidRPr="00554AB1">
              <w:rPr>
                <w:rFonts w:eastAsia="Calibri" w:cstheme="minorHAnsi"/>
              </w:rPr>
              <w:t>Influence Policy and regulation on e-waste management</w:t>
            </w:r>
          </w:p>
        </w:tc>
      </w:tr>
      <w:tr w:rsidR="00D70D43" w:rsidRPr="00554AB1" w14:paraId="3393FF35"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B461274" w14:textId="77777777" w:rsidR="00D70D43" w:rsidRPr="00554AB1" w:rsidRDefault="00D70D43" w:rsidP="007463F5">
            <w:pPr>
              <w:spacing w:after="120"/>
              <w:jc w:val="both"/>
              <w:rPr>
                <w:rFonts w:eastAsia="Calibri" w:cstheme="minorHAnsi"/>
              </w:rPr>
            </w:pPr>
            <w:r w:rsidRPr="00554AB1">
              <w:rPr>
                <w:rFonts w:eastAsia="Calibri" w:cstheme="minorHAnsi"/>
              </w:rPr>
              <w:t>I-Hub, ICT Action Network</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4A3EDAF6" w14:textId="77777777" w:rsidR="00D70D43" w:rsidRPr="00554AB1" w:rsidRDefault="00D70D43" w:rsidP="007463F5">
            <w:pPr>
              <w:spacing w:after="120"/>
              <w:jc w:val="both"/>
              <w:rPr>
                <w:rFonts w:eastAsia="Calibri" w:cstheme="minorHAnsi"/>
              </w:rPr>
            </w:pPr>
            <w:r w:rsidRPr="00554AB1">
              <w:rPr>
                <w:rFonts w:eastAsia="Calibri" w:cstheme="minorHAnsi"/>
              </w:rPr>
              <w:t>Create awareness on e-waste problem</w:t>
            </w:r>
          </w:p>
          <w:p w14:paraId="6862DBB8" w14:textId="77777777" w:rsidR="00D70D43" w:rsidRPr="00554AB1" w:rsidRDefault="00D70D43" w:rsidP="007463F5">
            <w:pPr>
              <w:spacing w:after="120"/>
              <w:jc w:val="both"/>
              <w:rPr>
                <w:rFonts w:eastAsia="Calibri" w:cstheme="minorHAnsi"/>
              </w:rPr>
            </w:pPr>
            <w:r w:rsidRPr="00554AB1">
              <w:rPr>
                <w:rFonts w:eastAsia="Calibri" w:cstheme="minorHAnsi"/>
              </w:rPr>
              <w:t>Influence Policy and regulation on e-waste management</w:t>
            </w:r>
          </w:p>
        </w:tc>
      </w:tr>
      <w:tr w:rsidR="00D70D43" w:rsidRPr="00554AB1" w14:paraId="334FBBEA"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FB2542B" w14:textId="77777777" w:rsidR="00D70D43" w:rsidRPr="00554AB1" w:rsidRDefault="00D70D43" w:rsidP="007463F5">
            <w:pPr>
              <w:spacing w:after="120"/>
              <w:jc w:val="both"/>
              <w:rPr>
                <w:rFonts w:eastAsia="Calibri" w:cstheme="minorHAnsi"/>
              </w:rPr>
            </w:pPr>
            <w:r w:rsidRPr="00554AB1">
              <w:rPr>
                <w:rFonts w:eastAsia="Calibri" w:cstheme="minorHAnsi"/>
              </w:rPr>
              <w:t>Equipment Manufacturers (HP, Dell, IBM)</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0753CD24" w14:textId="77777777" w:rsidR="00D70D43" w:rsidRPr="00554AB1" w:rsidRDefault="00D70D43" w:rsidP="007463F5">
            <w:pPr>
              <w:spacing w:after="120"/>
              <w:jc w:val="both"/>
              <w:rPr>
                <w:rFonts w:eastAsia="Calibri" w:cstheme="minorHAnsi"/>
              </w:rPr>
            </w:pPr>
            <w:r w:rsidRPr="00554AB1">
              <w:rPr>
                <w:rFonts w:eastAsia="Calibri" w:cstheme="minorHAnsi"/>
              </w:rPr>
              <w:t>Extended producer responsibility</w:t>
            </w:r>
          </w:p>
          <w:p w14:paraId="34F1978D" w14:textId="77777777" w:rsidR="00D70D43" w:rsidRPr="00554AB1" w:rsidRDefault="00D70D43" w:rsidP="007463F5">
            <w:pPr>
              <w:spacing w:after="120"/>
              <w:jc w:val="both"/>
              <w:rPr>
                <w:rFonts w:eastAsia="Calibri" w:cstheme="minorHAnsi"/>
              </w:rPr>
            </w:pPr>
            <w:r w:rsidRPr="00554AB1">
              <w:rPr>
                <w:rFonts w:eastAsia="Calibri" w:cstheme="minorHAnsi"/>
              </w:rPr>
              <w:t>Create awareness to clients and other stakeholders</w:t>
            </w:r>
          </w:p>
        </w:tc>
      </w:tr>
      <w:tr w:rsidR="00D70D43" w:rsidRPr="00554AB1" w14:paraId="661F9325" w14:textId="77777777" w:rsidTr="007463F5">
        <w:tc>
          <w:tcPr>
            <w:tcW w:w="375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E8C29F" w14:textId="77777777" w:rsidR="00D70D43" w:rsidRPr="00554AB1" w:rsidRDefault="00D70D43" w:rsidP="007463F5">
            <w:pPr>
              <w:spacing w:after="120"/>
              <w:jc w:val="both"/>
              <w:rPr>
                <w:rFonts w:eastAsia="Calibri" w:cstheme="minorHAnsi"/>
              </w:rPr>
            </w:pPr>
            <w:r w:rsidRPr="00554AB1">
              <w:rPr>
                <w:rFonts w:eastAsia="Calibri" w:cstheme="minorHAnsi"/>
              </w:rPr>
              <w:t>Recycling Companies</w:t>
            </w:r>
          </w:p>
        </w:tc>
        <w:tc>
          <w:tcPr>
            <w:tcW w:w="5861" w:type="dxa"/>
            <w:tcBorders>
              <w:top w:val="nil"/>
              <w:left w:val="nil"/>
              <w:bottom w:val="single" w:sz="8" w:space="0" w:color="auto"/>
              <w:right w:val="single" w:sz="8" w:space="0" w:color="auto"/>
            </w:tcBorders>
            <w:tcMar>
              <w:top w:w="0" w:type="dxa"/>
              <w:left w:w="108" w:type="dxa"/>
              <w:bottom w:w="0" w:type="dxa"/>
              <w:right w:w="108" w:type="dxa"/>
            </w:tcMar>
            <w:hideMark/>
          </w:tcPr>
          <w:p w14:paraId="407F1398" w14:textId="77777777" w:rsidR="00D70D43" w:rsidRPr="00554AB1" w:rsidRDefault="00D70D43" w:rsidP="007463F5">
            <w:pPr>
              <w:spacing w:after="120"/>
              <w:jc w:val="both"/>
              <w:rPr>
                <w:rFonts w:eastAsia="Calibri" w:cstheme="minorHAnsi"/>
              </w:rPr>
            </w:pPr>
            <w:r w:rsidRPr="00554AB1">
              <w:rPr>
                <w:rFonts w:eastAsia="Calibri" w:cstheme="minorHAnsi"/>
              </w:rPr>
              <w:t>Recycle/Refurbish electronic waste products</w:t>
            </w:r>
          </w:p>
        </w:tc>
      </w:tr>
    </w:tbl>
    <w:p w14:paraId="645CE5FB" w14:textId="77777777" w:rsidR="00D70D43" w:rsidRPr="00554AB1" w:rsidRDefault="00D70D43" w:rsidP="00D70D43">
      <w:pPr>
        <w:ind w:left="-432" w:right="-432"/>
        <w:mirrorIndents/>
        <w:rPr>
          <w:rFonts w:eastAsia="Calibri" w:cstheme="minorHAnsi"/>
          <w:b/>
        </w:rPr>
      </w:pPr>
    </w:p>
    <w:p w14:paraId="5AEFAB78" w14:textId="77777777" w:rsidR="00D70D43" w:rsidRPr="00554AB1" w:rsidRDefault="00D70D43" w:rsidP="00D70D43">
      <w:pPr>
        <w:tabs>
          <w:tab w:val="left" w:pos="0"/>
        </w:tabs>
        <w:ind w:left="-432" w:right="-432"/>
        <w:mirrorIndents/>
        <w:jc w:val="both"/>
        <w:rPr>
          <w:rFonts w:eastAsia="Times New Roman" w:cstheme="minorHAnsi"/>
          <w:b/>
          <w:bCs/>
        </w:rPr>
      </w:pPr>
      <w:r w:rsidRPr="00554AB1">
        <w:rPr>
          <w:rFonts w:eastAsia="Times New Roman" w:cstheme="minorHAnsi"/>
          <w:b/>
          <w:bCs/>
        </w:rPr>
        <w:t>PROJECT APPRAISAL SUMMARY</w:t>
      </w:r>
    </w:p>
    <w:p w14:paraId="762CEE8D"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A. Technical, Economic and Financial Analysis (if applicable)</w:t>
      </w:r>
    </w:p>
    <w:p w14:paraId="0F3D98B9" w14:textId="77777777" w:rsidR="00D70D43" w:rsidRPr="00554AB1" w:rsidRDefault="00D70D43" w:rsidP="00D70D43">
      <w:pPr>
        <w:tabs>
          <w:tab w:val="left" w:pos="0"/>
        </w:tabs>
        <w:ind w:left="-432" w:right="-432"/>
        <w:mirrorIndents/>
        <w:jc w:val="both"/>
        <w:rPr>
          <w:rFonts w:eastAsia="Times New Roman" w:cstheme="minorHAnsi"/>
        </w:rPr>
      </w:pPr>
      <w:r w:rsidRPr="00554AB1">
        <w:rPr>
          <w:rFonts w:eastAsia="SimSun" w:cstheme="minorHAnsi"/>
          <w:b/>
        </w:rPr>
        <w:t xml:space="preserve">B – Fiduciary </w:t>
      </w:r>
    </w:p>
    <w:p w14:paraId="5324ABB8"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 xml:space="preserve">Financial Management </w:t>
      </w:r>
    </w:p>
    <w:p w14:paraId="40DC82C4" w14:textId="77777777" w:rsidR="00D70D43" w:rsidRPr="00554AB1" w:rsidRDefault="00D70D43" w:rsidP="002E38A2">
      <w:pPr>
        <w:pStyle w:val="ListParagraph"/>
        <w:widowControl w:val="0"/>
        <w:numPr>
          <w:ilvl w:val="0"/>
          <w:numId w:val="21"/>
        </w:numPr>
        <w:autoSpaceDE w:val="0"/>
        <w:autoSpaceDN w:val="0"/>
        <w:adjustRightInd w:val="0"/>
        <w:spacing w:before="120" w:after="0" w:line="240" w:lineRule="auto"/>
        <w:jc w:val="both"/>
        <w:rPr>
          <w:rFonts w:cstheme="minorHAnsi"/>
        </w:rPr>
      </w:pPr>
      <w:r w:rsidRPr="00554AB1">
        <w:rPr>
          <w:rFonts w:eastAsia="Times New Roman" w:cstheme="minorHAnsi"/>
        </w:rPr>
        <w:t>An FM assessment for NEMA was conducted in May 2019 which revealed that NEMA has adequate capacity to effectively implement the project. The Finance department is headed by a qualified Finance Director support by 10 qualified accountants. The budgeting, funds flow, accounting, internal control, financial reporting and audit arrangements are deemed to be satisfactory. NEMA</w:t>
      </w:r>
      <w:r w:rsidRPr="00554AB1">
        <w:rPr>
          <w:rFonts w:eastAsia="Times New Roman" w:cstheme="minorHAnsi"/>
          <w:i/>
        </w:rPr>
        <w:t xml:space="preserve"> will enhance the FM capacity by hiring a full-time project accountant to manage the project</w:t>
      </w:r>
      <w:r w:rsidRPr="00554AB1">
        <w:rPr>
          <w:rFonts w:eastAsia="Times New Roman" w:cstheme="minorHAnsi"/>
        </w:rPr>
        <w:t xml:space="preserve">. NEMA will also </w:t>
      </w:r>
      <w:r w:rsidRPr="00554AB1">
        <w:rPr>
          <w:rFonts w:eastAsia="Times New Roman" w:cstheme="minorHAnsi"/>
          <w:i/>
        </w:rPr>
        <w:t>develop an FM procedures manual</w:t>
      </w:r>
      <w:r w:rsidRPr="00554AB1">
        <w:rPr>
          <w:rFonts w:eastAsia="Times New Roman" w:cstheme="minorHAnsi"/>
        </w:rPr>
        <w:t>.</w:t>
      </w:r>
    </w:p>
    <w:p w14:paraId="669179A2" w14:textId="77777777" w:rsidR="00D70D43" w:rsidRPr="00554AB1" w:rsidRDefault="00D70D43" w:rsidP="00D70D43">
      <w:pPr>
        <w:ind w:left="720"/>
        <w:contextualSpacing/>
        <w:rPr>
          <w:rFonts w:eastAsia="Times New Roman" w:cstheme="minorHAnsi"/>
        </w:rPr>
      </w:pPr>
    </w:p>
    <w:p w14:paraId="75F43349"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 xml:space="preserve">Funds Flow Arrangement. </w:t>
      </w:r>
      <w:r w:rsidRPr="00554AB1">
        <w:rPr>
          <w:rFonts w:eastAsia="Times New Roman" w:cstheme="minorHAnsi"/>
        </w:rPr>
        <w:t xml:space="preserve">On disbursement arrangements, the National Treasury (NT) will open a Designated Account (DA), denominated in USD, in the Central Bank of Kenya (CBK), into which the Bank will disburse the funds. NEMA will open a project account in local currency in a commercial bank acceptable to the World Bank. Funds will be transferred from the DA through the </w:t>
      </w:r>
      <w:proofErr w:type="spellStart"/>
      <w:r w:rsidRPr="00554AB1">
        <w:rPr>
          <w:rFonts w:eastAsia="Times New Roman" w:cstheme="minorHAnsi"/>
        </w:rPr>
        <w:t>MoEF</w:t>
      </w:r>
      <w:proofErr w:type="spellEnd"/>
      <w:r w:rsidRPr="00554AB1">
        <w:rPr>
          <w:rFonts w:eastAsia="Times New Roman" w:cstheme="minorHAnsi"/>
        </w:rPr>
        <w:t xml:space="preserve"> ministry </w:t>
      </w:r>
      <w:r w:rsidRPr="00554AB1">
        <w:rPr>
          <w:rFonts w:eastAsia="Times New Roman" w:cstheme="minorHAnsi"/>
        </w:rPr>
        <w:lastRenderedPageBreak/>
        <w:t xml:space="preserve">development bank account, to the PA in NEMA. All eligible project payments will be </w:t>
      </w:r>
      <w:proofErr w:type="gramStart"/>
      <w:r w:rsidRPr="00554AB1">
        <w:rPr>
          <w:rFonts w:eastAsia="Times New Roman" w:cstheme="minorHAnsi"/>
        </w:rPr>
        <w:t>made out of</w:t>
      </w:r>
      <w:proofErr w:type="gramEnd"/>
      <w:r w:rsidRPr="00554AB1">
        <w:rPr>
          <w:rFonts w:eastAsia="Times New Roman" w:cstheme="minorHAnsi"/>
        </w:rPr>
        <w:t xml:space="preserve"> the PA. Payments may also be made using the direct payment method of disbursement. </w:t>
      </w:r>
      <w:r w:rsidRPr="00554AB1">
        <w:rPr>
          <w:rFonts w:eastAsia="Times New Roman" w:cstheme="minorHAnsi"/>
          <w:i/>
        </w:rPr>
        <w:t>The Project will have county-level activities, but the implementation and project design aspects are yet to be firmed up. Once this is done, the FM assessment will be conducted for these activities and included in the FM assessment report.</w:t>
      </w:r>
    </w:p>
    <w:p w14:paraId="346065E4" w14:textId="77777777" w:rsidR="00D70D43" w:rsidRPr="00554AB1" w:rsidRDefault="00D70D43" w:rsidP="00D70D43">
      <w:pPr>
        <w:ind w:left="720"/>
        <w:contextualSpacing/>
        <w:rPr>
          <w:rFonts w:eastAsia="Times New Roman" w:cstheme="minorHAnsi"/>
        </w:rPr>
      </w:pPr>
    </w:p>
    <w:p w14:paraId="7131A4BB"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Planning and Budgeting.</w:t>
      </w:r>
      <w:r w:rsidRPr="00554AB1">
        <w:rPr>
          <w:rFonts w:eastAsia="Times New Roman" w:cstheme="minorHAnsi"/>
        </w:rPr>
        <w:t xml:space="preserve"> The Kenya Portfolio has been experiencing challenges of inadequate budget allocation, non-allocation of budget in first year of implementation, slow exchequer releases, insufficient government counterpart funds, in-country funds flow delays in transfer of funds from the Designated Account (DA) in NT to the Project Account (PA) in implementing agencies. These bottlenecks could adversely affect disbursement and overall Project implementation. These challenges are being addressed as part of the financial management policy dialogue between the World Bank and NT. </w:t>
      </w:r>
    </w:p>
    <w:p w14:paraId="18899006" w14:textId="77777777" w:rsidR="00D70D43" w:rsidRPr="00554AB1" w:rsidRDefault="00D70D43" w:rsidP="00D70D43">
      <w:pPr>
        <w:ind w:left="720"/>
        <w:contextualSpacing/>
        <w:rPr>
          <w:rFonts w:eastAsia="Times New Roman" w:cstheme="minorHAnsi"/>
        </w:rPr>
      </w:pPr>
    </w:p>
    <w:p w14:paraId="7066F3D8"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 xml:space="preserve">Disbursement Arrangement. </w:t>
      </w:r>
      <w:r w:rsidRPr="00554AB1">
        <w:rPr>
          <w:rFonts w:eastAsia="Times New Roman" w:cstheme="minorHAnsi"/>
        </w:rPr>
        <w:t>The Project will adopt the transaction-based SOE disbursement method.</w:t>
      </w:r>
    </w:p>
    <w:p w14:paraId="38A5921E" w14:textId="77777777" w:rsidR="00D70D43" w:rsidRPr="00554AB1" w:rsidRDefault="00D70D43" w:rsidP="00D70D43">
      <w:pPr>
        <w:ind w:left="720"/>
        <w:contextualSpacing/>
        <w:rPr>
          <w:rFonts w:eastAsia="Times New Roman" w:cstheme="minorHAnsi"/>
        </w:rPr>
      </w:pPr>
    </w:p>
    <w:p w14:paraId="42E34B0F"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b/>
        </w:rPr>
        <w:t>Financial Reporting.</w:t>
      </w:r>
      <w:r w:rsidRPr="00554AB1">
        <w:rPr>
          <w:rFonts w:eastAsia="Times New Roman" w:cstheme="minorHAnsi"/>
        </w:rPr>
        <w:t xml:space="preserve"> On financial reporting and audit, NEMA will submit semi-annual unaudited interim financial reports (IFR) to the Bank within 45 days after the end of the calendar semester, in form and content satisfactory to the Bank. NEMA will also prepare and submit to the Bank annual project-specific audit reports and management letter, within 6 months after the end of each financial year.</w:t>
      </w:r>
    </w:p>
    <w:p w14:paraId="24C36733" w14:textId="77777777" w:rsidR="00D70D43" w:rsidRPr="00554AB1" w:rsidRDefault="00D70D43" w:rsidP="00D70D43">
      <w:pPr>
        <w:ind w:left="720"/>
        <w:contextualSpacing/>
        <w:rPr>
          <w:rFonts w:eastAsia="Times New Roman" w:cstheme="minorHAnsi"/>
        </w:rPr>
      </w:pPr>
    </w:p>
    <w:p w14:paraId="775AE6D1"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eastAsia="Times New Roman" w:cstheme="minorHAnsi"/>
        </w:rPr>
      </w:pPr>
      <w:r w:rsidRPr="00554AB1">
        <w:rPr>
          <w:rFonts w:eastAsia="Times New Roman" w:cstheme="minorHAnsi"/>
        </w:rPr>
        <w:t xml:space="preserve">The conclusion of the assessment for NEMA is that the financial management arrangements are adequate to support Project implementation. NEMA is assessed as having an initial FM risk rating of Substantial, and overall residual risk of </w:t>
      </w:r>
      <w:r w:rsidRPr="00554AB1">
        <w:rPr>
          <w:rFonts w:eastAsia="Times New Roman" w:cstheme="minorHAnsi"/>
          <w:b/>
        </w:rPr>
        <w:t>Moderate</w:t>
      </w:r>
      <w:r w:rsidRPr="00554AB1">
        <w:rPr>
          <w:rFonts w:eastAsia="Times New Roman" w:cstheme="minorHAnsi"/>
        </w:rPr>
        <w:t xml:space="preserve"> (after implementation of the mitigation measures), which satisfies the Bank’s minimum requirements under the </w:t>
      </w:r>
      <w:r w:rsidRPr="00554AB1">
        <w:rPr>
          <w:rFonts w:eastAsia="Times New Roman" w:cstheme="minorHAnsi"/>
          <w:b/>
          <w:bCs/>
          <w:u w:val="single"/>
        </w:rPr>
        <w:t>Bank Directive</w:t>
      </w:r>
      <w:r w:rsidRPr="00554AB1">
        <w:rPr>
          <w:rFonts w:eastAsia="Times New Roman" w:cstheme="minorHAnsi"/>
        </w:rPr>
        <w:t xml:space="preserve"> and therefore is adequate to provide, with reasonable assurance, accurate and timely information on the status of the project required by the World Bank.</w:t>
      </w:r>
    </w:p>
    <w:p w14:paraId="7555D137" w14:textId="77777777" w:rsidR="00D70D43" w:rsidRPr="00554AB1" w:rsidRDefault="00D70D43" w:rsidP="00D70D43">
      <w:pPr>
        <w:tabs>
          <w:tab w:val="left" w:pos="0"/>
        </w:tabs>
        <w:spacing w:before="120"/>
        <w:jc w:val="both"/>
        <w:rPr>
          <w:rFonts w:eastAsia="Times New Roman" w:cstheme="minorHAnsi"/>
        </w:rPr>
      </w:pPr>
    </w:p>
    <w:p w14:paraId="78481D65" w14:textId="77777777" w:rsidR="00D70D43" w:rsidRPr="00554AB1" w:rsidRDefault="00D70D43" w:rsidP="00D70D43">
      <w:pPr>
        <w:rPr>
          <w:rFonts w:eastAsia="Times New Roman" w:cstheme="minorHAnsi"/>
          <w:b/>
        </w:rPr>
      </w:pPr>
      <w:r w:rsidRPr="00554AB1">
        <w:rPr>
          <w:rFonts w:eastAsia="Times New Roman" w:cstheme="minorHAnsi"/>
          <w:b/>
        </w:rPr>
        <w:t>Kenya FM Action Plan</w:t>
      </w:r>
    </w:p>
    <w:tbl>
      <w:tblPr>
        <w:tblW w:w="9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
        <w:gridCol w:w="5111"/>
        <w:gridCol w:w="1260"/>
        <w:gridCol w:w="3060"/>
      </w:tblGrid>
      <w:tr w:rsidR="00D70D43" w:rsidRPr="00554AB1" w14:paraId="02FC3077" w14:textId="77777777" w:rsidTr="007463F5">
        <w:tc>
          <w:tcPr>
            <w:tcW w:w="397" w:type="dxa"/>
            <w:shd w:val="clear" w:color="auto" w:fill="auto"/>
          </w:tcPr>
          <w:p w14:paraId="019C939F" w14:textId="77777777" w:rsidR="00D70D43" w:rsidRPr="00554AB1" w:rsidRDefault="00D70D43" w:rsidP="007463F5">
            <w:pPr>
              <w:contextualSpacing/>
              <w:rPr>
                <w:rFonts w:eastAsia="Times New Roman" w:cstheme="minorHAnsi"/>
              </w:rPr>
            </w:pPr>
          </w:p>
        </w:tc>
        <w:tc>
          <w:tcPr>
            <w:tcW w:w="5111" w:type="dxa"/>
            <w:shd w:val="clear" w:color="auto" w:fill="auto"/>
          </w:tcPr>
          <w:p w14:paraId="6ED7EBD6" w14:textId="77777777" w:rsidR="00D70D43" w:rsidRPr="00554AB1" w:rsidRDefault="00D70D43" w:rsidP="007463F5">
            <w:pPr>
              <w:contextualSpacing/>
              <w:rPr>
                <w:rFonts w:eastAsia="Times New Roman" w:cstheme="minorHAnsi"/>
                <w:b/>
              </w:rPr>
            </w:pPr>
            <w:r w:rsidRPr="00554AB1">
              <w:rPr>
                <w:rFonts w:eastAsia="Times New Roman" w:cstheme="minorHAnsi"/>
                <w:b/>
              </w:rPr>
              <w:t xml:space="preserve">Action </w:t>
            </w:r>
          </w:p>
        </w:tc>
        <w:tc>
          <w:tcPr>
            <w:tcW w:w="1260" w:type="dxa"/>
            <w:shd w:val="clear" w:color="auto" w:fill="auto"/>
          </w:tcPr>
          <w:p w14:paraId="6C7F6FF8" w14:textId="77777777" w:rsidR="00D70D43" w:rsidRPr="00554AB1" w:rsidRDefault="00D70D43" w:rsidP="007463F5">
            <w:pPr>
              <w:contextualSpacing/>
              <w:rPr>
                <w:rFonts w:eastAsia="Times New Roman" w:cstheme="minorHAnsi"/>
                <w:b/>
              </w:rPr>
            </w:pPr>
            <w:r w:rsidRPr="00554AB1">
              <w:rPr>
                <w:rFonts w:eastAsia="Times New Roman" w:cstheme="minorHAnsi"/>
                <w:b/>
              </w:rPr>
              <w:t xml:space="preserve">By whom </w:t>
            </w:r>
          </w:p>
        </w:tc>
        <w:tc>
          <w:tcPr>
            <w:tcW w:w="3060" w:type="dxa"/>
            <w:shd w:val="clear" w:color="auto" w:fill="auto"/>
          </w:tcPr>
          <w:p w14:paraId="6FF772CE" w14:textId="77777777" w:rsidR="00D70D43" w:rsidRPr="00554AB1" w:rsidRDefault="00D70D43" w:rsidP="007463F5">
            <w:pPr>
              <w:contextualSpacing/>
              <w:rPr>
                <w:rFonts w:eastAsia="Times New Roman" w:cstheme="minorHAnsi"/>
                <w:b/>
              </w:rPr>
            </w:pPr>
            <w:r w:rsidRPr="00554AB1">
              <w:rPr>
                <w:rFonts w:eastAsia="Times New Roman" w:cstheme="minorHAnsi"/>
                <w:b/>
              </w:rPr>
              <w:t>Due date</w:t>
            </w:r>
          </w:p>
        </w:tc>
      </w:tr>
      <w:tr w:rsidR="00D70D43" w:rsidRPr="00554AB1" w14:paraId="176705C1" w14:textId="77777777" w:rsidTr="007463F5">
        <w:tc>
          <w:tcPr>
            <w:tcW w:w="397" w:type="dxa"/>
            <w:shd w:val="clear" w:color="auto" w:fill="auto"/>
          </w:tcPr>
          <w:p w14:paraId="1FDC00CD" w14:textId="77777777" w:rsidR="00D70D43" w:rsidRPr="00554AB1" w:rsidRDefault="00D70D43" w:rsidP="007463F5">
            <w:pPr>
              <w:contextualSpacing/>
              <w:rPr>
                <w:rFonts w:eastAsia="Times New Roman" w:cstheme="minorHAnsi"/>
              </w:rPr>
            </w:pPr>
            <w:r w:rsidRPr="00554AB1">
              <w:rPr>
                <w:rFonts w:eastAsia="Times New Roman" w:cstheme="minorHAnsi"/>
              </w:rPr>
              <w:t>1.</w:t>
            </w:r>
          </w:p>
        </w:tc>
        <w:tc>
          <w:tcPr>
            <w:tcW w:w="5111" w:type="dxa"/>
            <w:shd w:val="clear" w:color="auto" w:fill="auto"/>
          </w:tcPr>
          <w:p w14:paraId="56177B76" w14:textId="77777777" w:rsidR="00D70D43" w:rsidRPr="00554AB1" w:rsidRDefault="00D70D43" w:rsidP="007463F5">
            <w:pPr>
              <w:contextualSpacing/>
              <w:rPr>
                <w:rFonts w:eastAsia="Times New Roman" w:cstheme="minorHAnsi"/>
              </w:rPr>
            </w:pPr>
            <w:r w:rsidRPr="00554AB1">
              <w:rPr>
                <w:rFonts w:eastAsia="Times New Roman" w:cstheme="minorHAnsi"/>
              </w:rPr>
              <w:t xml:space="preserve">Development of FM procedures manual </w:t>
            </w:r>
          </w:p>
        </w:tc>
        <w:tc>
          <w:tcPr>
            <w:tcW w:w="1260" w:type="dxa"/>
            <w:shd w:val="clear" w:color="auto" w:fill="auto"/>
          </w:tcPr>
          <w:p w14:paraId="5DE8372E" w14:textId="77777777" w:rsidR="00D70D43" w:rsidRPr="00554AB1" w:rsidRDefault="00D70D43" w:rsidP="007463F5">
            <w:pPr>
              <w:contextualSpacing/>
              <w:rPr>
                <w:rFonts w:eastAsia="Times New Roman" w:cstheme="minorHAnsi"/>
              </w:rPr>
            </w:pPr>
            <w:r w:rsidRPr="00554AB1">
              <w:rPr>
                <w:rFonts w:eastAsia="Times New Roman" w:cstheme="minorHAnsi"/>
              </w:rPr>
              <w:t>NEMA</w:t>
            </w:r>
          </w:p>
        </w:tc>
        <w:tc>
          <w:tcPr>
            <w:tcW w:w="3060" w:type="dxa"/>
            <w:shd w:val="clear" w:color="auto" w:fill="auto"/>
          </w:tcPr>
          <w:p w14:paraId="3099CD55" w14:textId="77777777" w:rsidR="00D70D43" w:rsidRPr="00554AB1" w:rsidRDefault="00D70D43" w:rsidP="007463F5">
            <w:pPr>
              <w:contextualSpacing/>
              <w:rPr>
                <w:rFonts w:eastAsia="Times New Roman" w:cstheme="minorHAnsi"/>
              </w:rPr>
            </w:pPr>
            <w:r w:rsidRPr="00554AB1">
              <w:rPr>
                <w:rFonts w:eastAsia="Times New Roman" w:cstheme="minorHAnsi"/>
              </w:rPr>
              <w:t>June 30, 2020</w:t>
            </w:r>
          </w:p>
        </w:tc>
      </w:tr>
      <w:tr w:rsidR="00D70D43" w:rsidRPr="00554AB1" w14:paraId="013FDFCC" w14:textId="77777777" w:rsidTr="007463F5">
        <w:tc>
          <w:tcPr>
            <w:tcW w:w="397" w:type="dxa"/>
            <w:shd w:val="clear" w:color="auto" w:fill="auto"/>
          </w:tcPr>
          <w:p w14:paraId="665488B7" w14:textId="77777777" w:rsidR="00D70D43" w:rsidRPr="00554AB1" w:rsidRDefault="00D70D43" w:rsidP="007463F5">
            <w:pPr>
              <w:contextualSpacing/>
              <w:rPr>
                <w:rFonts w:eastAsia="Times New Roman" w:cstheme="minorHAnsi"/>
              </w:rPr>
            </w:pPr>
            <w:r w:rsidRPr="00554AB1">
              <w:rPr>
                <w:rFonts w:eastAsia="Times New Roman" w:cstheme="minorHAnsi"/>
              </w:rPr>
              <w:t>2.</w:t>
            </w:r>
          </w:p>
        </w:tc>
        <w:tc>
          <w:tcPr>
            <w:tcW w:w="5111" w:type="dxa"/>
            <w:shd w:val="clear" w:color="auto" w:fill="auto"/>
          </w:tcPr>
          <w:p w14:paraId="540DB8E2" w14:textId="77777777" w:rsidR="00D70D43" w:rsidRPr="00554AB1" w:rsidRDefault="00D70D43" w:rsidP="007463F5">
            <w:pPr>
              <w:contextualSpacing/>
              <w:rPr>
                <w:rFonts w:eastAsia="Times New Roman" w:cstheme="minorHAnsi"/>
              </w:rPr>
            </w:pPr>
            <w:r w:rsidRPr="00554AB1">
              <w:rPr>
                <w:rFonts w:eastAsia="Times New Roman" w:cstheme="minorHAnsi"/>
              </w:rPr>
              <w:t>Designation of full-time project accountant</w:t>
            </w:r>
          </w:p>
        </w:tc>
        <w:tc>
          <w:tcPr>
            <w:tcW w:w="1260" w:type="dxa"/>
            <w:shd w:val="clear" w:color="auto" w:fill="auto"/>
          </w:tcPr>
          <w:p w14:paraId="2D7A9F3A" w14:textId="77777777" w:rsidR="00D70D43" w:rsidRPr="00554AB1" w:rsidRDefault="00D70D43" w:rsidP="007463F5">
            <w:pPr>
              <w:contextualSpacing/>
              <w:rPr>
                <w:rFonts w:eastAsia="Times New Roman" w:cstheme="minorHAnsi"/>
              </w:rPr>
            </w:pPr>
            <w:r w:rsidRPr="00554AB1">
              <w:rPr>
                <w:rFonts w:eastAsia="Times New Roman" w:cstheme="minorHAnsi"/>
              </w:rPr>
              <w:t>NEMA</w:t>
            </w:r>
          </w:p>
        </w:tc>
        <w:tc>
          <w:tcPr>
            <w:tcW w:w="3060" w:type="dxa"/>
            <w:shd w:val="clear" w:color="auto" w:fill="auto"/>
          </w:tcPr>
          <w:p w14:paraId="543B47D7" w14:textId="77777777" w:rsidR="00D70D43" w:rsidRPr="00554AB1" w:rsidRDefault="00D70D43" w:rsidP="007463F5">
            <w:pPr>
              <w:contextualSpacing/>
              <w:rPr>
                <w:rFonts w:eastAsia="Times New Roman" w:cstheme="minorHAnsi"/>
              </w:rPr>
            </w:pPr>
            <w:r w:rsidRPr="00554AB1">
              <w:rPr>
                <w:rFonts w:eastAsia="Times New Roman" w:cstheme="minorHAnsi"/>
              </w:rPr>
              <w:t>Upon project effectiveness</w:t>
            </w:r>
          </w:p>
        </w:tc>
      </w:tr>
      <w:tr w:rsidR="00D70D43" w:rsidRPr="00554AB1" w14:paraId="689E35C5" w14:textId="77777777" w:rsidTr="007463F5">
        <w:tc>
          <w:tcPr>
            <w:tcW w:w="397" w:type="dxa"/>
            <w:shd w:val="clear" w:color="auto" w:fill="auto"/>
          </w:tcPr>
          <w:p w14:paraId="0A793CAD" w14:textId="77777777" w:rsidR="00D70D43" w:rsidRPr="00554AB1" w:rsidRDefault="00D70D43" w:rsidP="007463F5">
            <w:pPr>
              <w:contextualSpacing/>
              <w:rPr>
                <w:rFonts w:eastAsia="Times New Roman" w:cstheme="minorHAnsi"/>
              </w:rPr>
            </w:pPr>
            <w:r w:rsidRPr="00554AB1">
              <w:rPr>
                <w:rFonts w:eastAsia="Times New Roman" w:cstheme="minorHAnsi"/>
              </w:rPr>
              <w:t>3.</w:t>
            </w:r>
          </w:p>
        </w:tc>
        <w:tc>
          <w:tcPr>
            <w:tcW w:w="5111" w:type="dxa"/>
            <w:shd w:val="clear" w:color="auto" w:fill="auto"/>
          </w:tcPr>
          <w:p w14:paraId="681968BA" w14:textId="77777777" w:rsidR="00D70D43" w:rsidRPr="00554AB1" w:rsidRDefault="00D70D43" w:rsidP="007463F5">
            <w:pPr>
              <w:contextualSpacing/>
              <w:rPr>
                <w:rFonts w:eastAsia="Times New Roman" w:cstheme="minorHAnsi"/>
              </w:rPr>
            </w:pPr>
            <w:r w:rsidRPr="00554AB1">
              <w:rPr>
                <w:rFonts w:eastAsia="Times New Roman" w:cstheme="minorHAnsi"/>
              </w:rPr>
              <w:t xml:space="preserve">Opening of project DA and PA accounts </w:t>
            </w:r>
          </w:p>
        </w:tc>
        <w:tc>
          <w:tcPr>
            <w:tcW w:w="1260" w:type="dxa"/>
            <w:shd w:val="clear" w:color="auto" w:fill="auto"/>
          </w:tcPr>
          <w:p w14:paraId="31D38F89" w14:textId="77777777" w:rsidR="00D70D43" w:rsidRPr="00554AB1" w:rsidRDefault="00D70D43" w:rsidP="007463F5">
            <w:pPr>
              <w:contextualSpacing/>
              <w:rPr>
                <w:rFonts w:eastAsia="Times New Roman" w:cstheme="minorHAnsi"/>
              </w:rPr>
            </w:pPr>
            <w:r w:rsidRPr="00554AB1">
              <w:rPr>
                <w:rFonts w:eastAsia="Times New Roman" w:cstheme="minorHAnsi"/>
              </w:rPr>
              <w:t>NEMA</w:t>
            </w:r>
          </w:p>
        </w:tc>
        <w:tc>
          <w:tcPr>
            <w:tcW w:w="3060" w:type="dxa"/>
            <w:shd w:val="clear" w:color="auto" w:fill="auto"/>
          </w:tcPr>
          <w:p w14:paraId="1C364267" w14:textId="77777777" w:rsidR="00D70D43" w:rsidRPr="00554AB1" w:rsidRDefault="00D70D43" w:rsidP="007463F5">
            <w:pPr>
              <w:contextualSpacing/>
              <w:rPr>
                <w:rFonts w:eastAsia="Times New Roman" w:cstheme="minorHAnsi"/>
              </w:rPr>
            </w:pPr>
            <w:r w:rsidRPr="00554AB1">
              <w:rPr>
                <w:rFonts w:eastAsia="Times New Roman" w:cstheme="minorHAnsi"/>
              </w:rPr>
              <w:t>Within 3 months of effectiveness</w:t>
            </w:r>
          </w:p>
        </w:tc>
      </w:tr>
    </w:tbl>
    <w:p w14:paraId="1881A3EE" w14:textId="77777777" w:rsidR="00D70D43" w:rsidRPr="00554AB1" w:rsidRDefault="00D70D43" w:rsidP="00D70D43">
      <w:pPr>
        <w:tabs>
          <w:tab w:val="left" w:pos="0"/>
        </w:tabs>
        <w:ind w:left="-270" w:right="-432"/>
        <w:mirrorIndents/>
        <w:jc w:val="both"/>
        <w:rPr>
          <w:rFonts w:eastAsia="Times New Roman" w:cstheme="minorHAnsi"/>
        </w:rPr>
      </w:pPr>
      <w:r w:rsidRPr="00554AB1">
        <w:rPr>
          <w:rFonts w:cstheme="minorHAnsi"/>
          <w:noProof/>
        </w:rPr>
        <w:lastRenderedPageBreak/>
        <w:drawing>
          <wp:inline distT="0" distB="0" distL="0" distR="0" wp14:anchorId="49C30BEF" wp14:editId="5AADA65D">
            <wp:extent cx="6105525" cy="2348865"/>
            <wp:effectExtent l="0" t="0" r="0" b="0"/>
            <wp:docPr id="24" name="Diagram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14:paraId="407AA160" w14:textId="77777777" w:rsidR="00D70D43" w:rsidRPr="00554AB1" w:rsidRDefault="00D70D43" w:rsidP="00D70D43">
      <w:pPr>
        <w:tabs>
          <w:tab w:val="left" w:pos="0"/>
        </w:tabs>
        <w:ind w:left="360" w:right="-432"/>
        <w:mirrorIndents/>
        <w:jc w:val="both"/>
        <w:rPr>
          <w:rFonts w:eastAsia="Times New Roman" w:cstheme="minorHAnsi"/>
          <w:i/>
        </w:rPr>
      </w:pPr>
      <w:r w:rsidRPr="00554AB1">
        <w:rPr>
          <w:rFonts w:eastAsia="Times New Roman" w:cstheme="minorHAnsi"/>
          <w:b/>
          <w:i/>
        </w:rPr>
        <w:t>Figure 2.</w:t>
      </w:r>
      <w:r w:rsidRPr="00554AB1">
        <w:rPr>
          <w:rFonts w:eastAsia="Times New Roman" w:cstheme="minorHAnsi"/>
          <w:i/>
        </w:rPr>
        <w:t xml:space="preserve"> Kenya Funds Flow Chart. </w:t>
      </w:r>
    </w:p>
    <w:p w14:paraId="3B8DB764" w14:textId="77777777" w:rsidR="00D70D43" w:rsidRPr="00554AB1" w:rsidRDefault="00D70D43" w:rsidP="00D70D43">
      <w:pPr>
        <w:tabs>
          <w:tab w:val="left" w:pos="0"/>
        </w:tabs>
        <w:ind w:left="720" w:right="-432"/>
        <w:contextualSpacing/>
        <w:mirrorIndents/>
        <w:jc w:val="both"/>
        <w:rPr>
          <w:rFonts w:eastAsia="Times New Roman" w:cstheme="minorHAnsi"/>
        </w:rPr>
      </w:pPr>
    </w:p>
    <w:p w14:paraId="0239A5F3" w14:textId="77777777" w:rsidR="00D70D43" w:rsidRPr="00554AB1" w:rsidRDefault="00D70D43" w:rsidP="00D70D43">
      <w:pPr>
        <w:tabs>
          <w:tab w:val="left" w:pos="0"/>
        </w:tabs>
        <w:spacing w:before="120"/>
        <w:jc w:val="both"/>
        <w:rPr>
          <w:rFonts w:eastAsia="Times New Roman" w:cstheme="minorHAnsi"/>
        </w:rPr>
      </w:pPr>
      <w:r w:rsidRPr="00554AB1">
        <w:rPr>
          <w:rFonts w:eastAsia="Times New Roman" w:cstheme="minorHAnsi"/>
          <w:b/>
        </w:rPr>
        <w:t>Procurement</w:t>
      </w:r>
      <w:r w:rsidRPr="00554AB1">
        <w:rPr>
          <w:rFonts w:eastAsia="Times New Roman" w:cstheme="minorHAnsi"/>
          <w:highlight w:val="yellow"/>
        </w:rPr>
        <w:t xml:space="preserve"> </w:t>
      </w:r>
    </w:p>
    <w:p w14:paraId="78A01DE3"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Framework</w:t>
      </w:r>
      <w:r w:rsidRPr="00554AB1">
        <w:rPr>
          <w:rFonts w:eastAsia="Times New Roman" w:cstheme="minorHAnsi"/>
        </w:rPr>
        <w:t xml:space="preserve">. Procurement under the proposed project will be carried out in accordance with “The World Bank Procurement Regulations for IPF Borrowers” dated July 2016 and revised in November 2017 and August 2018, hereafter referred to as “Procurement Regulations”. The project will also be subject to the World Bank’s Anti-Corruption Guidelines, dated July 1, 2016   and the provisions stipulated in the legal agreement. </w:t>
      </w:r>
    </w:p>
    <w:p w14:paraId="31A779AA"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00F34468"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Institutional Arrangements for Procurement</w:t>
      </w:r>
      <w:r w:rsidRPr="00554AB1">
        <w:rPr>
          <w:rFonts w:eastAsia="Times New Roman" w:cstheme="minorHAnsi"/>
        </w:rPr>
        <w:t>: NEMA Kenya in the Ministry of Environment and Forestry as the implementing Agency will serve as the Project Coordination Unit (PCU). The PCU supports the implementation at the national level and coordination with the EHPMP and other regional entities. The PCU will prepare annual work plans and budgets (AWPBs), procurement plans, procures envisaged procurement transactions as per agreed Bank’s New Procurement Framework, manages the contracts during the implementation, and provide support to counterpart institutions in the implementation of activities. The PCU comprises the following necessary staff: (a) Project Coordinator; (b) Institutional Development Specialist; (c) Communication Specialist; (d) M&amp;E and Reporting Specialist; (e) Environmental and Social Safeguards Specialists; (f) Procurement Specialist; and (g) FM Specialist.</w:t>
      </w:r>
    </w:p>
    <w:p w14:paraId="0F93EE80"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39315821"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 xml:space="preserve">Project Procurement Profile: </w:t>
      </w:r>
      <w:r w:rsidRPr="00554AB1">
        <w:rPr>
          <w:rFonts w:eastAsia="Times New Roman" w:cstheme="minorHAnsi"/>
        </w:rPr>
        <w:t>There are no high value and complex contracts anticipated under this project. The procurement profile is a mix of low to high value, procured centrally at the National level by NEMA.  Majority of the procurement transactions are consultancy services and the works contracts are covering pilot e-waste management, which may include e-waste processing equipment and supporting infrastructure, such as shelter and utility connections.</w:t>
      </w:r>
    </w:p>
    <w:p w14:paraId="350EAEBC" w14:textId="77777777" w:rsidR="00D70D43" w:rsidRPr="00554AB1" w:rsidRDefault="00D70D43" w:rsidP="00D70D43">
      <w:pPr>
        <w:rPr>
          <w:rFonts w:eastAsia="Times New Roman" w:cstheme="minorHAnsi"/>
        </w:rPr>
      </w:pPr>
    </w:p>
    <w:p w14:paraId="0F52420F"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of Goods and Non-Consulting Services:</w:t>
      </w:r>
      <w:r w:rsidRPr="00554AB1">
        <w:rPr>
          <w:rFonts w:eastAsia="Times New Roman" w:cstheme="minorHAnsi"/>
        </w:rPr>
        <w:t xml:space="preserve"> These comprise the procurement of motor vehicles, office and IT equipment, IT software &amp; information systems, office furniture, conferencing facilities, and printing services. </w:t>
      </w:r>
    </w:p>
    <w:p w14:paraId="61BCF22B"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28A348B8"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of Works:</w:t>
      </w:r>
      <w:r w:rsidRPr="00554AB1">
        <w:rPr>
          <w:rFonts w:eastAsia="Times New Roman" w:cstheme="minorHAnsi"/>
        </w:rPr>
        <w:t xml:space="preserve"> The construction of any infrastructure related to the pilot e-waste management Component and/or rehabilitation related infrastructure, such as offices. </w:t>
      </w:r>
    </w:p>
    <w:p w14:paraId="1B29804E" w14:textId="77777777" w:rsidR="00D70D43" w:rsidRPr="00554AB1" w:rsidRDefault="00D70D43" w:rsidP="00D70D43">
      <w:pPr>
        <w:rPr>
          <w:rFonts w:eastAsia="Times New Roman" w:cstheme="minorHAnsi"/>
        </w:rPr>
      </w:pPr>
    </w:p>
    <w:p w14:paraId="222BF26D"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of consultancy services</w:t>
      </w:r>
      <w:r w:rsidRPr="00554AB1">
        <w:rPr>
          <w:rFonts w:eastAsia="Times New Roman" w:cstheme="minorHAnsi"/>
        </w:rPr>
        <w:t>: These include, i) technical and financial feasibility studies and analysis for the pilot project under Component 3; ii) needs assessment of existing systems; iii) strengthening capacity to monitor, screen and evaluate, health risks; iv) review current environmental policies and develop strategy; and v) environmental and Social due diligence for pilot site.</w:t>
      </w:r>
    </w:p>
    <w:p w14:paraId="0AFFFB05" w14:textId="77777777" w:rsidR="00D70D43" w:rsidRPr="00554AB1" w:rsidRDefault="00D70D43" w:rsidP="00D70D43">
      <w:pPr>
        <w:rPr>
          <w:rFonts w:eastAsia="Times New Roman" w:cstheme="minorHAnsi"/>
        </w:rPr>
      </w:pPr>
    </w:p>
    <w:p w14:paraId="194DA3DE"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Project Procurement Strategy for Development (PPSD).</w:t>
      </w:r>
      <w:r w:rsidRPr="00554AB1">
        <w:rPr>
          <w:rFonts w:eastAsia="Times New Roman" w:cstheme="minorHAnsi"/>
        </w:rPr>
        <w:t xml:space="preserve"> A PPSD has been developed and the Procurement Plan (PP) for the first 18 months of project implementation. The aim of PPSD is to improve implementation of the Project and help in achieving results. The PPSD has informed the preparation of a Procurement Plan setting forth the selection methods to be followed by the </w:t>
      </w:r>
      <w:proofErr w:type="spellStart"/>
      <w:r w:rsidRPr="00554AB1">
        <w:rPr>
          <w:rFonts w:eastAsia="Times New Roman" w:cstheme="minorHAnsi"/>
        </w:rPr>
        <w:t>GoK</w:t>
      </w:r>
      <w:proofErr w:type="spellEnd"/>
      <w:r w:rsidRPr="00554AB1">
        <w:rPr>
          <w:rFonts w:eastAsia="Times New Roman" w:cstheme="minorHAnsi"/>
        </w:rPr>
        <w:t xml:space="preserve"> during project implementation in the procurement of goods, works, and non-consulting and consulting services financed by the Bank. The Procurement Plan will be updated at least annually or as required to reflect the actual project implementation needs and improvements in institutional capacity.</w:t>
      </w:r>
    </w:p>
    <w:p w14:paraId="52944634" w14:textId="77777777" w:rsidR="00D70D43" w:rsidRPr="00554AB1" w:rsidRDefault="00D70D43" w:rsidP="00D70D43">
      <w:pPr>
        <w:rPr>
          <w:rFonts w:eastAsia="Times New Roman" w:cstheme="minorHAnsi"/>
        </w:rPr>
      </w:pPr>
    </w:p>
    <w:p w14:paraId="1D560878" w14:textId="77777777" w:rsidR="00D70D43" w:rsidRPr="00554AB1" w:rsidRDefault="00D70D43" w:rsidP="002E38A2">
      <w:pPr>
        <w:numPr>
          <w:ilvl w:val="3"/>
          <w:numId w:val="5"/>
        </w:numPr>
        <w:tabs>
          <w:tab w:val="left" w:pos="0"/>
        </w:tabs>
        <w:autoSpaceDN w:val="0"/>
        <w:spacing w:before="120" w:line="256" w:lineRule="auto"/>
        <w:ind w:left="0" w:firstLine="0"/>
        <w:contextualSpacing/>
        <w:jc w:val="both"/>
        <w:rPr>
          <w:rFonts w:eastAsia="Times New Roman" w:cstheme="minorHAnsi"/>
        </w:rPr>
      </w:pPr>
      <w:r w:rsidRPr="00554AB1">
        <w:rPr>
          <w:rFonts w:eastAsia="Times New Roman" w:cstheme="minorHAnsi"/>
          <w:b/>
        </w:rPr>
        <w:t>Procurement Capacity Assessment</w:t>
      </w:r>
      <w:r w:rsidRPr="00554AB1">
        <w:rPr>
          <w:rFonts w:eastAsia="Times New Roman" w:cstheme="minorHAnsi"/>
        </w:rPr>
        <w:t>. A Procurement capacity assessment conducted revealed that NEMA has previous experience in the implementation of Bank financed projects using the Guidelines and has the requisite staffing and capacity to undertake the project. However, some key risks identified include, application and use of the Bank Procurement Regulations and the Systematic Tracking of Exchanges in Procurement (STEP), lack of updated national procurement regulations and national Standard Bidding Documents to be consistent with the national procurement law. Risk mitigation measures would include use of Bank’s SPDs for all contracts and capacity building on Bank Regulations and use of STEP prior to project effectiveness.  Procurement risk is rated “Moderate”.</w:t>
      </w:r>
    </w:p>
    <w:p w14:paraId="088F9354" w14:textId="77777777" w:rsidR="00D70D43" w:rsidRPr="00554AB1" w:rsidRDefault="00D70D43" w:rsidP="00D70D43">
      <w:pPr>
        <w:tabs>
          <w:tab w:val="left" w:pos="0"/>
        </w:tabs>
        <w:spacing w:before="120" w:line="256" w:lineRule="auto"/>
        <w:contextualSpacing/>
        <w:jc w:val="both"/>
        <w:rPr>
          <w:rFonts w:eastAsia="Times New Roman" w:cstheme="minorHAnsi"/>
        </w:rPr>
      </w:pPr>
    </w:p>
    <w:p w14:paraId="0713A5AE" w14:textId="77777777" w:rsidR="00D70D43" w:rsidRPr="00554AB1" w:rsidRDefault="00D70D43" w:rsidP="00D70D43">
      <w:pPr>
        <w:tabs>
          <w:tab w:val="left" w:pos="0"/>
        </w:tabs>
        <w:ind w:left="-432" w:right="-432"/>
        <w:mirrorIndents/>
        <w:jc w:val="both"/>
        <w:rPr>
          <w:rFonts w:eastAsia="SimSun" w:cstheme="minorHAnsi"/>
          <w:b/>
        </w:rPr>
      </w:pPr>
      <w:r w:rsidRPr="00554AB1">
        <w:rPr>
          <w:rFonts w:eastAsia="SimSun" w:cstheme="minorHAnsi"/>
          <w:b/>
        </w:rPr>
        <w:t>D – Environmental and Social</w:t>
      </w:r>
    </w:p>
    <w:p w14:paraId="17C7C57A"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Assessment of environmental and social risks of the program in Kenya has identified potential negative impacts under Component 3 - Demonstrating application of technological tools and economic approaches. This component is aiming to finance specific demonstration projects for cleaner technology in areas contaminated by chemical waste. These investments will be tailored to country specific implementation conditions and selected to avoid or minimize impacts on livelihoods and employment opportunities. The demonstrative investments (pilots) will introduce cleaner technologies and methodologies to reduce emissions of unintentional POPs in waste management. The pilots will be selected and designed based on priority environmental health risks and cost effectiveness of interventions. These pilots will be directly connected to Kenya - Urban Support Program - (P156777). The selection process will incorporate environmental and social screening to determine the level of risk and the nature and extent of the environmental assessment needed for the project. The screening will consider the location, sensitivity, and scale of the pilot; the nature and magnitude of the potential environmental and social risks and impacts, and the capacity and commitment of the implementing agency to manage the environmental and social risks and impacts in a manner consistent with the ESSs. </w:t>
      </w:r>
      <w:r w:rsidRPr="00554AB1">
        <w:rPr>
          <w:rFonts w:eastAsia="Times New Roman" w:cstheme="minorHAnsi"/>
        </w:rPr>
        <w:lastRenderedPageBreak/>
        <w:t>The proposed pilots with the following characteristics will not be considered for support under this Program: (a) Proposals with high level of environmental and social risk; and (b) Proposals requiring land acquisition or involuntary resettlement.</w:t>
      </w:r>
    </w:p>
    <w:p w14:paraId="65EF94D0" w14:textId="77777777" w:rsidR="00D70D43" w:rsidRPr="00554AB1" w:rsidRDefault="00D70D43" w:rsidP="00D70D43">
      <w:pPr>
        <w:tabs>
          <w:tab w:val="left" w:pos="0"/>
        </w:tabs>
        <w:spacing w:before="120"/>
        <w:ind w:left="3"/>
        <w:contextualSpacing/>
        <w:jc w:val="both"/>
        <w:rPr>
          <w:rFonts w:eastAsia="Times New Roman" w:cstheme="minorHAnsi"/>
        </w:rPr>
      </w:pPr>
    </w:p>
    <w:p w14:paraId="332CD1F2"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Existing environmental and social due diligence: As part of the project design it was proposed that Component 3 is co-located with a waste management investment financed by KUSP to support its objectives and enhance sustainability of the EHPMP pilot. Therefore, screening and assessment of environmental and social risks of Component 3 demonstrative activities, KUSP due diligence provides an important baseline. As part of preparation of KUSP, which covers all 47 counties, has an objective to establish and strengthen urban institutions to deliver improved infrastructure and services in participating counties in Kenya. It is a hybrid IPF/</w:t>
      </w:r>
      <w:proofErr w:type="spellStart"/>
      <w:r w:rsidRPr="00554AB1">
        <w:rPr>
          <w:rFonts w:eastAsia="Times New Roman" w:cstheme="minorHAnsi"/>
        </w:rPr>
        <w:t>PforR</w:t>
      </w:r>
      <w:proofErr w:type="spellEnd"/>
      <w:r w:rsidRPr="00554AB1">
        <w:rPr>
          <w:rFonts w:eastAsia="Times New Roman" w:cstheme="minorHAnsi"/>
        </w:rPr>
        <w:t xml:space="preserve"> operation, which conducted the Environment and Social Systems Assessment (ESSA), which found the environmental and social management aspects of regulatory and institutional system in Kenya, including waste management sector, largely adequate. The ESSA, prepared in June 2017, recognizes that there remain gaps in the existing institutional systems for environmental and social management that need further strengthening, particularly at the county level. The environmental and social management units at both national and county levels are not adequately supported through budgetary allocations and provision of necessary facilities equipment and supplies, adequate and skilled human resources. The counties do not have documented procedures and processes in place for the management of the environmental and social management risks. </w:t>
      </w:r>
    </w:p>
    <w:p w14:paraId="597EF758" w14:textId="77777777" w:rsidR="00D70D43" w:rsidRPr="00554AB1" w:rsidRDefault="00D70D43" w:rsidP="00D70D43">
      <w:pPr>
        <w:tabs>
          <w:tab w:val="left" w:pos="0"/>
        </w:tabs>
        <w:spacing w:before="120"/>
        <w:ind w:left="3"/>
        <w:contextualSpacing/>
        <w:jc w:val="both"/>
        <w:rPr>
          <w:rFonts w:eastAsia="Times New Roman" w:cstheme="minorHAnsi"/>
        </w:rPr>
      </w:pPr>
    </w:p>
    <w:p w14:paraId="76E3E147"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Environmental and Social Management Framework: For overall EHPMP, specific Environmental and Social Standards activities and responsibilities are being described in the Environmental and Social Management Framework (ESMF). NEMA as the project implementing agency will be responsible complying with the Bank Environmental and Social Standards and for overseeing implementation of the ESMF. The project is expected to enhance positive environmental and social impacts as it will focus on improving environmental conditions of selected pilot sites. NEMA as the implementing agency has adequate in-house capacity at the national and county levels to supervise, monitor, and overall manage the environmental and social risks under the proposed pilot interventions, however, these institutions will need to build additional capacity for contract management during pilot implementation and for managing social and environmental risks and impacts beyond aspects that are generally included in the OP’s. Specifically, ESS3 – Pollution Management and Resource Efficiency and ESS4 – Community Health and Safety may require additional capacity building to assist NEMA in ESF compliance. </w:t>
      </w:r>
    </w:p>
    <w:p w14:paraId="1F4659BB" w14:textId="77777777" w:rsidR="00D70D43" w:rsidRPr="00554AB1" w:rsidRDefault="00D70D43" w:rsidP="00D70D43">
      <w:pPr>
        <w:tabs>
          <w:tab w:val="left" w:pos="0"/>
        </w:tabs>
        <w:spacing w:before="120"/>
        <w:ind w:left="3"/>
        <w:contextualSpacing/>
        <w:jc w:val="both"/>
        <w:rPr>
          <w:rFonts w:eastAsia="Times New Roman" w:cstheme="minorHAnsi"/>
        </w:rPr>
      </w:pPr>
    </w:p>
    <w:p w14:paraId="68ED1500"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Assessment and management of environmental and social risks and impacts. The key potential environmental issues, which can be readily managed/mitigated are related to (i) hazardous waste management (including disposal) during preparation of pilot sites, (ii) occupational health and safety of workers, (iii) restriction of land use, and (iv) potential impacts to community health and safety. From the preliminary review carried out at this concept stage, it can be concluded that implementing agencies’ ESMS and procedures need to be enhanced to comply with ESS1 requirements. The Project will address the gaps through the ESCP, which will be based on the update / preparation and implementation of the ESIA and the associated ESMPs. Where there are existing ESIAs (covering the ongoing Bank-funded projects linked with each of the pilots), such ESIAs will be reviewed to assess their coverage of the proposed pilot interventions. </w:t>
      </w:r>
    </w:p>
    <w:p w14:paraId="6A4B986F" w14:textId="77777777" w:rsidR="00D70D43" w:rsidRPr="00554AB1" w:rsidRDefault="00D70D43" w:rsidP="00D70D43">
      <w:pPr>
        <w:pStyle w:val="ListParagraph"/>
        <w:rPr>
          <w:rFonts w:cstheme="minorHAnsi"/>
        </w:rPr>
      </w:pPr>
    </w:p>
    <w:p w14:paraId="7123C8B1"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Resource Efficiency and Pollution Prevention and Management: There is a potential for the project pilot </w:t>
      </w:r>
      <w:r w:rsidRPr="00554AB1">
        <w:rPr>
          <w:rFonts w:eastAsia="Times New Roman" w:cstheme="minorHAnsi"/>
        </w:rPr>
        <w:lastRenderedPageBreak/>
        <w:t xml:space="preserve">sites to have historical pollution, in case an existing e-waste management recovery site is selected. For each pilot the implementing agency will establish a process to identify the responsible party, and in parallel undertake a screening on whether the existing level of pollution could pose a significant risk to human health or the environment, and if such risk is identified undertake a health and safety risk assessment of the existing pollution. Based on the demonstrative nature of pilot projects on use of cleaner and safer technologies and reduction of the health risks and exposure to hazardous chemicals for the project beneficiaries, the pilots with characteristics such as (a) potential to constitute a significant source of emissions in an already degraded area, (b) proximity to areas of importance to biodiversity; (c) the potential for cumulative impacts with uncertain and/or irreversible consequences; and (c) impacts of climate change, will not be considered under the program. The pilots will be designed to minimize the generation of waste, and reuse, recycle and recover waste in a manner that is safe for human health and the environment. In case of e-waste pilots, the purpose of the project is aiming towards material reuse, recycle and recovery. For all pilot designs, any remaining waste will be treated or disposed of it in a safe manner that includes the appropriate control of emissions and residues resulting from the handling and processing of the waste material. The treatment and disposal process will comply with national legislation and Basel Conventions on storage, transportation and disposal of hazardous wastes. No transboundary waste movements </w:t>
      </w:r>
      <w:proofErr w:type="gramStart"/>
      <w:r w:rsidRPr="00554AB1">
        <w:rPr>
          <w:rFonts w:eastAsia="Times New Roman" w:cstheme="minorHAnsi"/>
        </w:rPr>
        <w:t>is</w:t>
      </w:r>
      <w:proofErr w:type="gramEnd"/>
      <w:r w:rsidRPr="00554AB1">
        <w:rPr>
          <w:rFonts w:eastAsia="Times New Roman" w:cstheme="minorHAnsi"/>
        </w:rPr>
        <w:t xml:space="preserve"> funded under the project. In case relevant national legislation is insufficient, the implementing agencies will adopt GIIP alternatives for its environmentally sound and safe management and disposal.</w:t>
      </w:r>
    </w:p>
    <w:p w14:paraId="04D71D80" w14:textId="77777777" w:rsidR="00D70D43" w:rsidRPr="00554AB1" w:rsidRDefault="00D70D43" w:rsidP="00D70D43">
      <w:pPr>
        <w:tabs>
          <w:tab w:val="left" w:pos="0"/>
        </w:tabs>
        <w:spacing w:before="120"/>
        <w:ind w:left="3"/>
        <w:contextualSpacing/>
        <w:jc w:val="both"/>
        <w:rPr>
          <w:rFonts w:eastAsia="Times New Roman" w:cstheme="minorHAnsi"/>
        </w:rPr>
      </w:pPr>
    </w:p>
    <w:p w14:paraId="4B9359E4"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Land Acquisition, Restrictions on Land Use and Involuntary Resettlement: Proposed activities associated with demonstrating application of technological tool will not require land acquisition. Any proposal with a requirement for physical or economic displacement of people or land acquisition requirements will not be considered for project financing.</w:t>
      </w:r>
    </w:p>
    <w:p w14:paraId="6EEC67FA" w14:textId="77777777" w:rsidR="00D70D43" w:rsidRPr="00554AB1" w:rsidRDefault="00D70D43" w:rsidP="00D70D43">
      <w:pPr>
        <w:pStyle w:val="ListParagraph"/>
        <w:rPr>
          <w:rFonts w:cstheme="minorHAnsi"/>
        </w:rPr>
      </w:pPr>
    </w:p>
    <w:p w14:paraId="7E5DCE17"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Community Health and Safety: Implementation of the project will have both direct and indirect benefits to the people’s health and safety. The main objective of the project is to reduce health and environmental risks caused by mercury handling. The use of alternative technologies as described in Component 3 activities aims at reducing exposure to </w:t>
      </w:r>
      <w:proofErr w:type="spellStart"/>
      <w:r w:rsidRPr="00554AB1">
        <w:rPr>
          <w:rFonts w:eastAsia="Times New Roman" w:cstheme="minorHAnsi"/>
        </w:rPr>
        <w:t>uPOPs</w:t>
      </w:r>
      <w:proofErr w:type="spellEnd"/>
      <w:r w:rsidRPr="00554AB1">
        <w:rPr>
          <w:rFonts w:eastAsia="Times New Roman" w:cstheme="minorHAnsi"/>
        </w:rPr>
        <w:t xml:space="preserve"> during electronic waste recycling process. The project will also put in place a framework for ensuring safe use of chemicals used in ASGM. In addition, the environmental impact assessment will ensure that mitigation measures for improved health and safety of workers and people living in mining areas are implemented. Furthermore, the capacity building programs in components 1 will provide necessary knowledge and skills on safety measures to be incorporated in e-waste recycling sector, including safe handling of hazardous chemicals. </w:t>
      </w:r>
    </w:p>
    <w:p w14:paraId="6FB83453" w14:textId="77777777" w:rsidR="00D70D43" w:rsidRPr="00554AB1" w:rsidRDefault="00D70D43" w:rsidP="00D70D43">
      <w:pPr>
        <w:pStyle w:val="ListParagraph"/>
        <w:rPr>
          <w:rFonts w:cstheme="minorHAnsi"/>
        </w:rPr>
      </w:pPr>
    </w:p>
    <w:p w14:paraId="08BC4A9E" w14:textId="77777777" w:rsidR="00D70D43" w:rsidRPr="00554AB1" w:rsidRDefault="00D70D43" w:rsidP="002E38A2">
      <w:pPr>
        <w:widowControl w:val="0"/>
        <w:numPr>
          <w:ilvl w:val="0"/>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 xml:space="preserve">Stakeholders Engagement and Information Disclosure: The draft Stakeholder Engagement Plan for the program has been prepared. The client is seeking stakeholder feedback and opportunities for proposed future engagement, ensuring that all consultations are inclusive and accessible (both in format and location) and through channels that are suitable in the local context. NEMA and the Ministry of Environment and Forests will engage in meaningful consultations with all stakeholders throughout the project life cycle, paying attention to the inclusion of vulnerable and disadvantaged groups (including the elderly, persons with disabilities, female headed households and orphans and vulnerable children). The implementing agencies will provide stakeholders with timely, relevant, understandable and accessible information, and consult with them in a culturally appropriate manner, which is free of manipulation, </w:t>
      </w:r>
      <w:r w:rsidRPr="00554AB1">
        <w:rPr>
          <w:rFonts w:eastAsia="Times New Roman" w:cstheme="minorHAnsi"/>
        </w:rPr>
        <w:lastRenderedPageBreak/>
        <w:t xml:space="preserve">interference, coercion, discrimination and intimidation. As part of the environmental and social assessment the borrower will maintain, and disclose, a documented record of stakeholder engagement, including a description of the stakeholders consulted, a summary of the feedback received and a brief explanation of how the feedback was </w:t>
      </w:r>
      <w:proofErr w:type="gramStart"/>
      <w:r w:rsidRPr="00554AB1">
        <w:rPr>
          <w:rFonts w:eastAsia="Times New Roman" w:cstheme="minorHAnsi"/>
        </w:rPr>
        <w:t>taken into account</w:t>
      </w:r>
      <w:proofErr w:type="gramEnd"/>
      <w:r w:rsidRPr="00554AB1">
        <w:rPr>
          <w:rFonts w:eastAsia="Times New Roman" w:cstheme="minorHAnsi"/>
        </w:rPr>
        <w:t>, or the reasons why it was not. Preliminary list of stakeholders includes the several groups:</w:t>
      </w:r>
    </w:p>
    <w:p w14:paraId="3A87499E"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Government agencies: National Environmental Management Authority, Ministry of Environment and Forests, Kenya Revenue Authority, Ministry of ICT, Ministry of Industries, Ministry of Health, Kenya Bureau of Standards, Ministry of Devolution and ASALs, Kenya School of Government, Ministry of Education, County Governments (e.g. Nairobi City County, Mombasa, Eldoret).</w:t>
      </w:r>
    </w:p>
    <w:p w14:paraId="73201168"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Multilateral organizations</w:t>
      </w:r>
    </w:p>
    <w:p w14:paraId="3048A8E9"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Civil Society Organizations:  Computer for Schools, I-Hub, ICT Action Network, Agenda for Environment and Responsible Development (AGENDA) (based in Tanzania).</w:t>
      </w:r>
    </w:p>
    <w:p w14:paraId="6E84BC4C"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Private Sector: Recycling companies, Equipment Manufacturers (Dell, IBM, HP)</w:t>
      </w:r>
    </w:p>
    <w:p w14:paraId="75389EA6" w14:textId="77777777" w:rsidR="00D70D43" w:rsidRPr="00554AB1" w:rsidRDefault="00D70D43" w:rsidP="002E38A2">
      <w:pPr>
        <w:widowControl w:val="0"/>
        <w:numPr>
          <w:ilvl w:val="1"/>
          <w:numId w:val="21"/>
        </w:numPr>
        <w:tabs>
          <w:tab w:val="left" w:pos="0"/>
        </w:tabs>
        <w:autoSpaceDE w:val="0"/>
        <w:autoSpaceDN w:val="0"/>
        <w:adjustRightInd w:val="0"/>
        <w:spacing w:before="120" w:after="0" w:line="240" w:lineRule="auto"/>
        <w:contextualSpacing/>
        <w:jc w:val="both"/>
        <w:rPr>
          <w:rFonts w:cstheme="minorHAnsi"/>
        </w:rPr>
      </w:pPr>
      <w:r w:rsidRPr="00554AB1">
        <w:rPr>
          <w:rFonts w:eastAsia="Times New Roman" w:cstheme="minorHAnsi"/>
        </w:rPr>
        <w:t>Community organizations in the areas covered by Component 3 activities.</w:t>
      </w:r>
    </w:p>
    <w:p w14:paraId="182B4E01" w14:textId="77777777" w:rsidR="00D70D43" w:rsidRPr="00554AB1" w:rsidRDefault="00D70D43" w:rsidP="00D70D43">
      <w:pPr>
        <w:rPr>
          <w:rFonts w:cstheme="minorHAnsi"/>
        </w:rPr>
      </w:pPr>
    </w:p>
    <w:p w14:paraId="505C2E0A" w14:textId="77777777" w:rsidR="00D70D43" w:rsidRDefault="00D70D43" w:rsidP="00D70D43">
      <w:pPr>
        <w:rPr>
          <w:rFonts w:cstheme="minorHAnsi"/>
          <w:bCs/>
        </w:rPr>
      </w:pPr>
      <w:r>
        <w:rPr>
          <w:rFonts w:cstheme="minorHAnsi"/>
          <w:bCs/>
        </w:rPr>
        <w:br w:type="page"/>
      </w:r>
    </w:p>
    <w:p w14:paraId="7B5F1FE1" w14:textId="1B31E268" w:rsidR="00D70D43" w:rsidRPr="00686B59" w:rsidRDefault="00D70D43" w:rsidP="00D70D43">
      <w:pPr>
        <w:keepNext/>
        <w:ind w:left="-432" w:right="-432"/>
        <w:jc w:val="center"/>
        <w:rPr>
          <w:rFonts w:eastAsia="Calibri" w:cstheme="minorHAnsi"/>
          <w:b/>
          <w:i/>
          <w:sz w:val="28"/>
        </w:rPr>
      </w:pPr>
      <w:r w:rsidRPr="00686B59">
        <w:rPr>
          <w:rFonts w:eastAsia="Calibri" w:cstheme="minorHAnsi"/>
          <w:b/>
          <w:i/>
        </w:rPr>
        <w:lastRenderedPageBreak/>
        <w:t xml:space="preserve">ANNEX </w:t>
      </w:r>
      <w:r w:rsidR="00954BB4">
        <w:rPr>
          <w:rFonts w:eastAsia="Calibri" w:cstheme="minorHAnsi"/>
          <w:b/>
          <w:i/>
        </w:rPr>
        <w:t>1</w:t>
      </w:r>
      <w:r w:rsidRPr="00686B59">
        <w:rPr>
          <w:rFonts w:eastAsia="Calibri" w:cstheme="minorHAnsi"/>
          <w:b/>
          <w:i/>
        </w:rPr>
        <w:t xml:space="preserve"> E:  PROJECT DESCRIPTION FOR SENEGAL (GEF ID: 9854)</w:t>
      </w:r>
    </w:p>
    <w:p w14:paraId="7B8ECCE5" w14:textId="77777777" w:rsidR="00954BB4" w:rsidRDefault="00D70D43" w:rsidP="00D70D43">
      <w:pPr>
        <w:keepNext/>
        <w:jc w:val="center"/>
        <w:rPr>
          <w:rFonts w:eastAsia="Calibri" w:cstheme="minorHAnsi"/>
          <w:b/>
        </w:rPr>
      </w:pPr>
      <w:r w:rsidRPr="00686B59">
        <w:rPr>
          <w:rFonts w:eastAsia="Calibri" w:cstheme="minorHAnsi"/>
          <w:b/>
        </w:rPr>
        <w:t xml:space="preserve">PROPOSED GLOBAL ENVIRONMENT FACILITY GRANT </w:t>
      </w:r>
    </w:p>
    <w:p w14:paraId="7ED5C732" w14:textId="77777777" w:rsidR="00954BB4" w:rsidRDefault="00D70D43" w:rsidP="00D70D43">
      <w:pPr>
        <w:keepNext/>
        <w:jc w:val="center"/>
        <w:rPr>
          <w:rFonts w:eastAsia="Calibri" w:cstheme="minorHAnsi"/>
          <w:b/>
        </w:rPr>
      </w:pPr>
      <w:r w:rsidRPr="00686B59">
        <w:rPr>
          <w:rFonts w:eastAsia="Calibri" w:cstheme="minorHAnsi"/>
          <w:b/>
        </w:rPr>
        <w:t xml:space="preserve">TO THE REPUBLIC OF SENEGAL </w:t>
      </w:r>
    </w:p>
    <w:p w14:paraId="20679E03" w14:textId="297A1F08" w:rsidR="00D70D43" w:rsidRPr="00686B59" w:rsidRDefault="00D70D43" w:rsidP="00D70D43">
      <w:pPr>
        <w:keepNext/>
        <w:jc w:val="center"/>
        <w:rPr>
          <w:rFonts w:eastAsia="Calibri" w:cstheme="minorHAnsi"/>
          <w:b/>
          <w:i/>
        </w:rPr>
      </w:pPr>
      <w:r w:rsidRPr="00686B59">
        <w:rPr>
          <w:rFonts w:eastAsia="Calibri" w:cstheme="minorHAnsi"/>
          <w:b/>
        </w:rPr>
        <w:t>IN THE AMOUNT OF</w:t>
      </w:r>
      <w:r w:rsidR="00954BB4">
        <w:rPr>
          <w:rFonts w:eastAsia="Calibri" w:cstheme="minorHAnsi"/>
          <w:b/>
        </w:rPr>
        <w:t xml:space="preserve"> </w:t>
      </w:r>
      <w:r w:rsidRPr="00686B59">
        <w:rPr>
          <w:rFonts w:eastAsia="Calibri" w:cstheme="minorHAnsi"/>
          <w:b/>
        </w:rPr>
        <w:t>US$ 5,504,587</w:t>
      </w:r>
    </w:p>
    <w:p w14:paraId="42258D3D" w14:textId="77777777" w:rsidR="00D70D43" w:rsidRPr="00547B1B" w:rsidRDefault="00D70D43" w:rsidP="00D70D43">
      <w:pPr>
        <w:ind w:left="3"/>
        <w:jc w:val="both"/>
        <w:rPr>
          <w:rFonts w:ascii="Calibri" w:eastAsia="Times New Roman" w:hAnsi="Calibri" w:cs="Calibri"/>
          <w:bCs/>
        </w:rPr>
      </w:pPr>
    </w:p>
    <w:p w14:paraId="35A8472F" w14:textId="77777777" w:rsidR="00D70D43" w:rsidRPr="00B51B95" w:rsidRDefault="00D70D43" w:rsidP="00D70D43">
      <w:pPr>
        <w:keepNext/>
        <w:jc w:val="both"/>
        <w:rPr>
          <w:rFonts w:cstheme="minorHAnsi"/>
          <w:b/>
          <w:color w:val="000000" w:themeColor="text1"/>
        </w:rPr>
      </w:pPr>
      <w:r w:rsidRPr="00B51B95">
        <w:rPr>
          <w:rFonts w:cstheme="minorHAnsi"/>
          <w:b/>
          <w:color w:val="000000" w:themeColor="text1"/>
        </w:rPr>
        <w:t xml:space="preserve">STRATEGIC CONTEXT </w:t>
      </w:r>
    </w:p>
    <w:p w14:paraId="3BEC1442" w14:textId="77777777" w:rsidR="00D70D43" w:rsidRPr="00B51B95" w:rsidRDefault="00D70D43" w:rsidP="00D70D43">
      <w:pPr>
        <w:keepNext/>
        <w:jc w:val="both"/>
        <w:rPr>
          <w:rFonts w:cstheme="minorHAnsi"/>
          <w:b/>
          <w:color w:val="000000" w:themeColor="text1"/>
        </w:rPr>
      </w:pPr>
      <w:r w:rsidRPr="00B51B95">
        <w:rPr>
          <w:rFonts w:cstheme="minorHAnsi"/>
          <w:b/>
          <w:color w:val="000000" w:themeColor="text1"/>
        </w:rPr>
        <w:t>A – Country Context</w:t>
      </w:r>
    </w:p>
    <w:p w14:paraId="147FED67"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In February 2014, the Senegalese authorities launched the Emerging Senegal Plan (</w:t>
      </w:r>
      <w:r w:rsidRPr="00B51B95">
        <w:rPr>
          <w:rFonts w:cstheme="minorHAnsi"/>
          <w:i/>
          <w:color w:val="000000" w:themeColor="text1"/>
        </w:rPr>
        <w:t>Plan Senegal Emergent</w:t>
      </w:r>
      <w:r w:rsidRPr="00B51B95">
        <w:rPr>
          <w:rFonts w:cstheme="minorHAnsi"/>
          <w:color w:val="000000" w:themeColor="text1"/>
        </w:rPr>
        <w:t xml:space="preserve">, PSE) to accelerate the country’s progress towards emerging market status by 2035. </w:t>
      </w:r>
      <w:r>
        <w:rPr>
          <w:rFonts w:cstheme="minorHAnsi"/>
          <w:color w:val="000000" w:themeColor="text1"/>
        </w:rPr>
        <w:t xml:space="preserve"> </w:t>
      </w:r>
      <w:r w:rsidRPr="00B51B95">
        <w:rPr>
          <w:rFonts w:cstheme="minorHAnsi"/>
          <w:color w:val="000000" w:themeColor="text1"/>
        </w:rPr>
        <w:t>The main purpose of the PSE is to restore growth and accelerate the pace of poverty reduction by investing in agriculture, energy, housing</w:t>
      </w:r>
      <w:r>
        <w:rPr>
          <w:rFonts w:cstheme="minorHAnsi"/>
          <w:color w:val="000000" w:themeColor="text1"/>
        </w:rPr>
        <w:t>,</w:t>
      </w:r>
      <w:r w:rsidRPr="00B51B95">
        <w:rPr>
          <w:rFonts w:cstheme="minorHAnsi"/>
          <w:color w:val="000000" w:themeColor="text1"/>
        </w:rPr>
        <w:t xml:space="preserve"> and infrastructure. The policy reform areas include land reform, improvement of business and investment climate</w:t>
      </w:r>
      <w:r>
        <w:rPr>
          <w:rFonts w:cstheme="minorHAnsi"/>
          <w:color w:val="000000" w:themeColor="text1"/>
        </w:rPr>
        <w:t>,</w:t>
      </w:r>
      <w:r w:rsidRPr="00B51B95">
        <w:rPr>
          <w:rFonts w:cstheme="minorHAnsi"/>
          <w:color w:val="000000" w:themeColor="text1"/>
        </w:rPr>
        <w:t xml:space="preserve"> and energy reform. </w:t>
      </w:r>
    </w:p>
    <w:p w14:paraId="0AC353E0"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In the same year, through the third Act of Decentralization, the landscape of the Senegalese territorial governance changed with the full “municipalization” of the territory. </w:t>
      </w:r>
      <w:r>
        <w:rPr>
          <w:rFonts w:cstheme="minorHAnsi"/>
          <w:color w:val="000000" w:themeColor="text1"/>
        </w:rPr>
        <w:t xml:space="preserve"> </w:t>
      </w:r>
      <w:r w:rsidRPr="00B51B95">
        <w:rPr>
          <w:rFonts w:cstheme="minorHAnsi"/>
          <w:color w:val="000000" w:themeColor="text1"/>
        </w:rPr>
        <w:t>Rural communities were converted to fully-fledged local governments; responsibilities previously attributed to regions were transferred to Departments; and additional responsibilities were transferred to existing urban authorities in urban planning, environment, education, public health management</w:t>
      </w:r>
      <w:r>
        <w:rPr>
          <w:rFonts w:cstheme="minorHAnsi"/>
          <w:color w:val="000000" w:themeColor="text1"/>
        </w:rPr>
        <w:t>,</w:t>
      </w:r>
      <w:r w:rsidRPr="00B51B95">
        <w:rPr>
          <w:rFonts w:cstheme="minorHAnsi"/>
          <w:color w:val="000000" w:themeColor="text1"/>
        </w:rPr>
        <w:t xml:space="preserve"> and social development.</w:t>
      </w:r>
    </w:p>
    <w:p w14:paraId="0275687C"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Senegal has yet to benefit from the positive outcomes associated with urbanization in terms of growth and poverty reduction. </w:t>
      </w:r>
      <w:r>
        <w:rPr>
          <w:rFonts w:cstheme="minorHAnsi"/>
          <w:color w:val="000000" w:themeColor="text1"/>
        </w:rPr>
        <w:t xml:space="preserve"> </w:t>
      </w:r>
      <w:r w:rsidRPr="00B51B95">
        <w:rPr>
          <w:rFonts w:cstheme="minorHAnsi"/>
          <w:color w:val="000000" w:themeColor="text1"/>
        </w:rPr>
        <w:t xml:space="preserve">Senegalese secondary cities, which concentrate the largest percentage of urban poor, are a case in point. </w:t>
      </w:r>
      <w:r>
        <w:rPr>
          <w:rFonts w:cstheme="minorHAnsi"/>
          <w:color w:val="000000" w:themeColor="text1"/>
        </w:rPr>
        <w:t xml:space="preserve"> </w:t>
      </w:r>
      <w:r w:rsidRPr="00B51B95">
        <w:rPr>
          <w:rFonts w:cstheme="minorHAnsi"/>
          <w:color w:val="000000" w:themeColor="text1"/>
        </w:rPr>
        <w:t xml:space="preserve">More than 45 percent of the Senegalese population live in urban areas. </w:t>
      </w:r>
      <w:r>
        <w:rPr>
          <w:rFonts w:cstheme="minorHAnsi"/>
          <w:color w:val="000000" w:themeColor="text1"/>
        </w:rPr>
        <w:t xml:space="preserve"> </w:t>
      </w:r>
      <w:r w:rsidRPr="00B51B95">
        <w:rPr>
          <w:rFonts w:cstheme="minorHAnsi"/>
          <w:color w:val="000000" w:themeColor="text1"/>
        </w:rPr>
        <w:t xml:space="preserve">Projections estimate that by 2050, 60 percent of the population will live in cities. </w:t>
      </w:r>
      <w:r>
        <w:rPr>
          <w:rFonts w:cstheme="minorHAnsi"/>
          <w:color w:val="000000" w:themeColor="text1"/>
        </w:rPr>
        <w:t xml:space="preserve"> </w:t>
      </w:r>
      <w:r w:rsidRPr="00B51B95">
        <w:rPr>
          <w:rFonts w:cstheme="minorHAnsi"/>
          <w:color w:val="000000" w:themeColor="text1"/>
        </w:rPr>
        <w:t xml:space="preserve">The incidence of poverty in urban areas remains much lower than in rural areas, particularly in Dakar (26.1 and 41.3 percent in Dakar and other urban areas, respectively). </w:t>
      </w:r>
      <w:r>
        <w:rPr>
          <w:rFonts w:cstheme="minorHAnsi"/>
          <w:color w:val="000000" w:themeColor="text1"/>
        </w:rPr>
        <w:t xml:space="preserve"> </w:t>
      </w:r>
      <w:r w:rsidRPr="00B51B95">
        <w:rPr>
          <w:rFonts w:cstheme="minorHAnsi"/>
          <w:color w:val="000000" w:themeColor="text1"/>
        </w:rPr>
        <w:t xml:space="preserve">However, with almost half of the population living in urban areas and one quarter living in Dakar, urban Senegal now hosts close to 30 percent of the total number of poor, mostly in secondary cities. </w:t>
      </w:r>
      <w:r>
        <w:rPr>
          <w:rFonts w:cstheme="minorHAnsi"/>
          <w:color w:val="000000" w:themeColor="text1"/>
        </w:rPr>
        <w:t xml:space="preserve"> </w:t>
      </w:r>
      <w:r w:rsidRPr="00B51B95">
        <w:rPr>
          <w:rFonts w:cstheme="minorHAnsi"/>
          <w:color w:val="000000" w:themeColor="text1"/>
        </w:rPr>
        <w:t xml:space="preserve">Although economic growth in Dakar has provided the basis for lifting urban inhabitants out of poverty, the same cannot be said for secondary cities. </w:t>
      </w:r>
      <w:r>
        <w:rPr>
          <w:rFonts w:cstheme="minorHAnsi"/>
          <w:color w:val="000000" w:themeColor="text1"/>
        </w:rPr>
        <w:t xml:space="preserve"> </w:t>
      </w:r>
      <w:r w:rsidRPr="00B51B95">
        <w:rPr>
          <w:rFonts w:cstheme="minorHAnsi"/>
          <w:color w:val="000000" w:themeColor="text1"/>
        </w:rPr>
        <w:t xml:space="preserve">The sustained influx of rural populations fleeing drought and downturns in agricultural production has created challenges for Senegal’s secondary cities, which are faced with a growing deficit of urban infrastructure, poor service delivery and few work opportunities. </w:t>
      </w:r>
    </w:p>
    <w:p w14:paraId="6D3601AF"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The rapid population growth in the Senegalese capital has resulted in environmental degradation, with ecosystems and biodiversity under threat and growing nuisance and pollution from waste mismanagement. </w:t>
      </w:r>
      <w:r>
        <w:rPr>
          <w:rFonts w:cstheme="minorHAnsi"/>
          <w:color w:val="000000" w:themeColor="text1"/>
        </w:rPr>
        <w:t xml:space="preserve"> </w:t>
      </w:r>
      <w:r w:rsidRPr="00B51B95">
        <w:rPr>
          <w:rFonts w:cstheme="minorHAnsi"/>
          <w:color w:val="000000" w:themeColor="text1"/>
        </w:rPr>
        <w:t xml:space="preserve">Because of its position, Dakar exerts an attraction on people in search of better living and working conditions. </w:t>
      </w:r>
      <w:r>
        <w:rPr>
          <w:rFonts w:cstheme="minorHAnsi"/>
          <w:color w:val="000000" w:themeColor="text1"/>
        </w:rPr>
        <w:t xml:space="preserve"> </w:t>
      </w:r>
      <w:r w:rsidRPr="00B51B95">
        <w:rPr>
          <w:rFonts w:cstheme="minorHAnsi"/>
          <w:color w:val="000000" w:themeColor="text1"/>
        </w:rPr>
        <w:t xml:space="preserve">According to the National Statistics Agency, in 2013, the population density was 5,704 people per km². </w:t>
      </w:r>
      <w:r>
        <w:rPr>
          <w:rFonts w:cstheme="minorHAnsi"/>
          <w:color w:val="000000" w:themeColor="text1"/>
        </w:rPr>
        <w:t xml:space="preserve"> </w:t>
      </w:r>
      <w:r w:rsidRPr="00B51B95">
        <w:rPr>
          <w:rFonts w:cstheme="minorHAnsi"/>
          <w:color w:val="000000" w:themeColor="text1"/>
        </w:rPr>
        <w:t xml:space="preserve">The rush for land, in a context of urban expansion dominated by informal housing, has occurred most often at the expense of the </w:t>
      </w:r>
      <w:proofErr w:type="spellStart"/>
      <w:r w:rsidRPr="00B51B95">
        <w:rPr>
          <w:rFonts w:cstheme="minorHAnsi"/>
          <w:color w:val="000000" w:themeColor="text1"/>
        </w:rPr>
        <w:t>Niayes</w:t>
      </w:r>
      <w:proofErr w:type="spellEnd"/>
      <w:r w:rsidRPr="00B51B95">
        <w:rPr>
          <w:rFonts w:cstheme="minorHAnsi"/>
          <w:color w:val="000000" w:themeColor="text1"/>
        </w:rPr>
        <w:t xml:space="preserve"> area in the region of Dakar, a zone made up of alternating sand dunes and wetlands wel</w:t>
      </w:r>
      <w:r>
        <w:rPr>
          <w:rFonts w:cstheme="minorHAnsi"/>
          <w:color w:val="000000" w:themeColor="text1"/>
        </w:rPr>
        <w:t>l-</w:t>
      </w:r>
      <w:r w:rsidRPr="00B51B95">
        <w:rPr>
          <w:rFonts w:cstheme="minorHAnsi"/>
          <w:color w:val="000000" w:themeColor="text1"/>
        </w:rPr>
        <w:t xml:space="preserve">suited for market gardening. </w:t>
      </w:r>
      <w:r>
        <w:rPr>
          <w:rFonts w:cstheme="minorHAnsi"/>
          <w:color w:val="000000" w:themeColor="text1"/>
        </w:rPr>
        <w:t xml:space="preserve"> </w:t>
      </w:r>
      <w:r w:rsidRPr="00B51B95">
        <w:rPr>
          <w:rFonts w:cstheme="minorHAnsi"/>
          <w:color w:val="000000" w:themeColor="text1"/>
        </w:rPr>
        <w:t xml:space="preserve">Extended periods of drought have coincided with this settlement and have given the illusion that all land was safe for residential areas. </w:t>
      </w:r>
      <w:r>
        <w:rPr>
          <w:rFonts w:cstheme="minorHAnsi"/>
          <w:color w:val="000000" w:themeColor="text1"/>
        </w:rPr>
        <w:t xml:space="preserve"> </w:t>
      </w:r>
      <w:r w:rsidRPr="00B51B95">
        <w:rPr>
          <w:rFonts w:cstheme="minorHAnsi"/>
          <w:color w:val="000000" w:themeColor="text1"/>
        </w:rPr>
        <w:lastRenderedPageBreak/>
        <w:t xml:space="preserve">However, human settlement has destabilized the ecological functions that these special wetlands serve as reservoir, buffer, filter and horizontal flow regulator. </w:t>
      </w:r>
      <w:r>
        <w:rPr>
          <w:rFonts w:cstheme="minorHAnsi"/>
          <w:color w:val="000000" w:themeColor="text1"/>
        </w:rPr>
        <w:t xml:space="preserve"> </w:t>
      </w:r>
      <w:r w:rsidRPr="00B51B95">
        <w:rPr>
          <w:rFonts w:cstheme="minorHAnsi"/>
          <w:color w:val="000000" w:themeColor="text1"/>
        </w:rPr>
        <w:t xml:space="preserve">Despite all urban plans, pre- and post-independence, Dakar is experiencing serious difficulties related to climate change and the rapid and uncontrolled urban growth, especially in the “Hann Bel Air and </w:t>
      </w:r>
      <w:proofErr w:type="spellStart"/>
      <w:r w:rsidRPr="00B51B95">
        <w:rPr>
          <w:rFonts w:cstheme="minorHAnsi"/>
          <w:color w:val="000000" w:themeColor="text1"/>
        </w:rPr>
        <w:t>Dalifort</w:t>
      </w:r>
      <w:proofErr w:type="spellEnd"/>
      <w:r w:rsidRPr="00B51B95">
        <w:rPr>
          <w:rFonts w:cstheme="minorHAnsi"/>
          <w:color w:val="000000" w:themeColor="text1"/>
        </w:rPr>
        <w:t xml:space="preserve">” municipalities, an area of </w:t>
      </w:r>
      <w:proofErr w:type="spellStart"/>
      <w:r w:rsidRPr="00B51B95">
        <w:rPr>
          <w:rFonts w:cstheme="minorHAnsi"/>
          <w:color w:val="000000" w:themeColor="text1"/>
        </w:rPr>
        <w:t>Niayes</w:t>
      </w:r>
      <w:proofErr w:type="spellEnd"/>
      <w:r w:rsidRPr="00B51B95">
        <w:rPr>
          <w:rFonts w:cstheme="minorHAnsi"/>
          <w:color w:val="000000" w:themeColor="text1"/>
        </w:rPr>
        <w:t xml:space="preserve"> located in the suburban zone of the capital.  Hann Bel Air and </w:t>
      </w:r>
      <w:proofErr w:type="spellStart"/>
      <w:r w:rsidRPr="00B51B95">
        <w:rPr>
          <w:rFonts w:cstheme="minorHAnsi"/>
          <w:color w:val="000000" w:themeColor="text1"/>
        </w:rPr>
        <w:t>Dalifort</w:t>
      </w:r>
      <w:proofErr w:type="spellEnd"/>
      <w:r w:rsidRPr="00B51B95">
        <w:rPr>
          <w:rFonts w:cstheme="minorHAnsi"/>
          <w:color w:val="000000" w:themeColor="text1"/>
        </w:rPr>
        <w:t xml:space="preserve"> district is crossed by two lakes that are an extension of the </w:t>
      </w:r>
      <w:proofErr w:type="spellStart"/>
      <w:r w:rsidRPr="00B51B95">
        <w:rPr>
          <w:rFonts w:cstheme="minorHAnsi"/>
          <w:color w:val="000000" w:themeColor="text1"/>
        </w:rPr>
        <w:t>Niayes</w:t>
      </w:r>
      <w:proofErr w:type="spellEnd"/>
      <w:r w:rsidRPr="00B51B95">
        <w:rPr>
          <w:rFonts w:cstheme="minorHAnsi"/>
          <w:color w:val="000000" w:themeColor="text1"/>
        </w:rPr>
        <w:t xml:space="preserve"> area. </w:t>
      </w:r>
      <w:r>
        <w:rPr>
          <w:rFonts w:cstheme="minorHAnsi"/>
          <w:color w:val="000000" w:themeColor="text1"/>
        </w:rPr>
        <w:t xml:space="preserve"> </w:t>
      </w:r>
      <w:r w:rsidRPr="00B51B95">
        <w:rPr>
          <w:rFonts w:cstheme="minorHAnsi"/>
          <w:color w:val="000000" w:themeColor="text1"/>
        </w:rPr>
        <w:t xml:space="preserve">This wetland system extends over 1,700 m long and 80 m wide and plays an important ecological role. </w:t>
      </w:r>
      <w:r>
        <w:rPr>
          <w:rFonts w:cstheme="minorHAnsi"/>
          <w:color w:val="000000" w:themeColor="text1"/>
        </w:rPr>
        <w:t xml:space="preserve"> </w:t>
      </w:r>
      <w:r w:rsidRPr="00B51B95">
        <w:rPr>
          <w:rFonts w:cstheme="minorHAnsi"/>
          <w:color w:val="000000" w:themeColor="text1"/>
        </w:rPr>
        <w:t xml:space="preserve">This area is subject to strong urban pressure causing a rapid transformation of the ecosystem. </w:t>
      </w:r>
      <w:r>
        <w:rPr>
          <w:rFonts w:cstheme="minorHAnsi"/>
          <w:color w:val="000000" w:themeColor="text1"/>
        </w:rPr>
        <w:t xml:space="preserve"> </w:t>
      </w:r>
      <w:r w:rsidRPr="00B51B95">
        <w:rPr>
          <w:rFonts w:cstheme="minorHAnsi"/>
          <w:color w:val="000000" w:themeColor="text1"/>
        </w:rPr>
        <w:t xml:space="preserve">Since the 1980s, the exponential urban growth of Dakar has led to a significant loss of biodiversity as most of the natural areas were transformed to residential areas. </w:t>
      </w:r>
      <w:r>
        <w:rPr>
          <w:rFonts w:cstheme="minorHAnsi"/>
          <w:color w:val="000000" w:themeColor="text1"/>
        </w:rPr>
        <w:t xml:space="preserve"> </w:t>
      </w:r>
      <w:r w:rsidRPr="00B51B95">
        <w:rPr>
          <w:rFonts w:cstheme="minorHAnsi"/>
          <w:color w:val="000000" w:themeColor="text1"/>
        </w:rPr>
        <w:t xml:space="preserve">These conversions of wetlands to residential areas were made without considering the soil characteristics and have seriously affected some activities such as market gardening. </w:t>
      </w:r>
      <w:r>
        <w:rPr>
          <w:rFonts w:cstheme="minorHAnsi"/>
          <w:color w:val="000000" w:themeColor="text1"/>
        </w:rPr>
        <w:t xml:space="preserve"> </w:t>
      </w:r>
      <w:r w:rsidRPr="00B51B95">
        <w:rPr>
          <w:rFonts w:cstheme="minorHAnsi"/>
          <w:color w:val="000000" w:themeColor="text1"/>
        </w:rPr>
        <w:t xml:space="preserve">Dunes and retention tanks have disappeared after earthworks and waste dumps pop up with the urban sprawl. </w:t>
      </w:r>
      <w:r>
        <w:rPr>
          <w:rFonts w:cstheme="minorHAnsi"/>
          <w:color w:val="000000" w:themeColor="text1"/>
        </w:rPr>
        <w:t xml:space="preserve"> </w:t>
      </w:r>
      <w:r w:rsidRPr="00B51B95">
        <w:rPr>
          <w:rFonts w:cstheme="minorHAnsi"/>
          <w:color w:val="000000" w:themeColor="text1"/>
        </w:rPr>
        <w:t xml:space="preserve">Uncollected waste provides breeding areas and conditions for the proliferation of potentially disease-carrying vectors such as insect and rodent pests, with their associated health and nuisance issues. </w:t>
      </w:r>
    </w:p>
    <w:p w14:paraId="4BEB8FF6"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Furthermore, the lack of sorting, ineffective collection, the burning of the waste, as well as the uncontrolled disposal of waste are common practices. </w:t>
      </w:r>
      <w:r>
        <w:rPr>
          <w:rFonts w:cstheme="minorHAnsi"/>
          <w:color w:val="000000" w:themeColor="text1"/>
        </w:rPr>
        <w:t xml:space="preserve"> </w:t>
      </w:r>
      <w:r w:rsidRPr="00B51B95">
        <w:rPr>
          <w:rFonts w:cstheme="minorHAnsi"/>
          <w:color w:val="000000" w:themeColor="text1"/>
        </w:rPr>
        <w:t xml:space="preserve">This mismanagement of waste has negative impacts on human health, the economy of the household, the quality of life, the air, the soil, water resources and the global environment. </w:t>
      </w:r>
    </w:p>
    <w:p w14:paraId="26FEA4D0" w14:textId="77777777" w:rsidR="00D70D43" w:rsidRPr="00B51B95" w:rsidRDefault="00D70D43" w:rsidP="00D70D43">
      <w:pPr>
        <w:spacing w:after="120"/>
        <w:jc w:val="both"/>
        <w:rPr>
          <w:rFonts w:cstheme="minorHAnsi"/>
          <w:color w:val="000000" w:themeColor="text1"/>
        </w:rPr>
      </w:pPr>
      <w:r w:rsidRPr="00B51B95">
        <w:rPr>
          <w:rFonts w:cstheme="minorHAnsi"/>
          <w:b/>
          <w:bCs/>
          <w:color w:val="000000" w:themeColor="text1"/>
        </w:rPr>
        <w:t xml:space="preserve">B- </w:t>
      </w:r>
      <w:r w:rsidRPr="00B51B95">
        <w:rPr>
          <w:rFonts w:cstheme="minorHAnsi"/>
          <w:b/>
          <w:color w:val="000000" w:themeColor="text1"/>
        </w:rPr>
        <w:t>Sectoral and Institutional Context</w:t>
      </w:r>
    </w:p>
    <w:p w14:paraId="12058E3E"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In Senegal, there is no sanitary landfill in operation.</w:t>
      </w:r>
      <w:r>
        <w:rPr>
          <w:rFonts w:cstheme="minorHAnsi"/>
          <w:color w:val="000000" w:themeColor="text1"/>
        </w:rPr>
        <w:t xml:space="preserve"> </w:t>
      </w:r>
      <w:r w:rsidRPr="00B51B95">
        <w:rPr>
          <w:rFonts w:cstheme="minorHAnsi"/>
          <w:color w:val="000000" w:themeColor="text1"/>
        </w:rPr>
        <w:t xml:space="preserve"> Dakar’s solid waste is currently disposed of into a large open dump, at </w:t>
      </w:r>
      <w:proofErr w:type="spellStart"/>
      <w:r w:rsidRPr="00B51B95">
        <w:rPr>
          <w:rFonts w:cstheme="minorHAnsi"/>
          <w:color w:val="000000" w:themeColor="text1"/>
        </w:rPr>
        <w:t>Mbeubeuss</w:t>
      </w:r>
      <w:proofErr w:type="spellEnd"/>
      <w:r w:rsidRPr="00B51B95">
        <w:rPr>
          <w:rFonts w:cstheme="minorHAnsi"/>
          <w:color w:val="000000" w:themeColor="text1"/>
        </w:rPr>
        <w:t xml:space="preserve">, a densely populated suburban area of the capital. </w:t>
      </w:r>
      <w:r>
        <w:rPr>
          <w:rFonts w:cstheme="minorHAnsi"/>
          <w:color w:val="000000" w:themeColor="text1"/>
        </w:rPr>
        <w:t xml:space="preserve"> </w:t>
      </w:r>
      <w:r w:rsidRPr="00B51B95">
        <w:rPr>
          <w:rFonts w:cstheme="minorHAnsi"/>
          <w:color w:val="000000" w:themeColor="text1"/>
        </w:rPr>
        <w:t>The site is a source of water, air</w:t>
      </w:r>
      <w:r>
        <w:rPr>
          <w:rFonts w:cstheme="minorHAnsi"/>
          <w:color w:val="000000" w:themeColor="text1"/>
        </w:rPr>
        <w:t>,</w:t>
      </w:r>
      <w:r w:rsidRPr="00B51B95">
        <w:rPr>
          <w:rFonts w:cstheme="minorHAnsi"/>
          <w:color w:val="000000" w:themeColor="text1"/>
        </w:rPr>
        <w:t xml:space="preserve"> and land pollution, which requires urgent management as it continues to expand.  </w:t>
      </w:r>
    </w:p>
    <w:p w14:paraId="7A2E895B"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Under the institutional leadership of the Ministry in charge of Local Governance, “</w:t>
      </w:r>
      <w:proofErr w:type="spellStart"/>
      <w:r w:rsidRPr="00B51B95">
        <w:rPr>
          <w:rFonts w:cstheme="minorHAnsi"/>
          <w:color w:val="000000" w:themeColor="text1"/>
        </w:rPr>
        <w:t>l’Unité</w:t>
      </w:r>
      <w:proofErr w:type="spellEnd"/>
      <w:r w:rsidRPr="00B51B95">
        <w:rPr>
          <w:rFonts w:cstheme="minorHAnsi"/>
          <w:color w:val="000000" w:themeColor="text1"/>
        </w:rPr>
        <w:t xml:space="preserve"> de Coordination et de Gestion des </w:t>
      </w:r>
      <w:proofErr w:type="spellStart"/>
      <w:r w:rsidRPr="00B51B95">
        <w:rPr>
          <w:rFonts w:cstheme="minorHAnsi"/>
          <w:color w:val="000000" w:themeColor="text1"/>
        </w:rPr>
        <w:t>déchets</w:t>
      </w:r>
      <w:proofErr w:type="spellEnd"/>
      <w:r w:rsidRPr="00B51B95">
        <w:rPr>
          <w:rFonts w:cstheme="minorHAnsi"/>
          <w:color w:val="000000" w:themeColor="text1"/>
        </w:rPr>
        <w:t xml:space="preserve"> - UCG” (Coordination Unit for Solid Waste Management) was created to support local communities in taking charge of solid waste management. The objective of UCG is to put in place a mechanism to enhance the capacities of local communities which suffer, for the most part, from a deficit of technical, financial, logistical, organizational as well as managerial capacities in the management of public health.</w:t>
      </w:r>
    </w:p>
    <w:p w14:paraId="66586809"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In this respect UCG, aligned with the PSE, and in coherence with the national strategy, seeks to implement the National Program for Waste Management (Plan National de Gestion des </w:t>
      </w:r>
      <w:proofErr w:type="spellStart"/>
      <w:r w:rsidRPr="00B51B95">
        <w:rPr>
          <w:rFonts w:cstheme="minorHAnsi"/>
          <w:color w:val="000000" w:themeColor="text1"/>
        </w:rPr>
        <w:t>Déchets</w:t>
      </w:r>
      <w:proofErr w:type="spellEnd"/>
      <w:r w:rsidRPr="00B51B95">
        <w:rPr>
          <w:rFonts w:cstheme="minorHAnsi"/>
          <w:color w:val="000000" w:themeColor="text1"/>
        </w:rPr>
        <w:t xml:space="preserve">, PNGD), which aims to support local communities in improving their living environment. </w:t>
      </w:r>
    </w:p>
    <w:p w14:paraId="689C0466"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In 2014, the UCG initiated a national study which identified and characterized, in 48 towns, more than 1,700 unregulated dumpsites. The average waste collection rate is 40 % in regional capitals and only 28 % in secondary cities. There is a presence of waste pickers on mixed solid waste sites along with open burning practices and there is no awareness of hazardous waste handling. Additionally, in many places in Senegal, plastic and metal containers that have contained hazardous chemicals are reused by recyclers who, after rinsing, resell them for other uses. These could be considered as hazardous waste. </w:t>
      </w:r>
    </w:p>
    <w:p w14:paraId="4461A2CF"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Senegal ratified the Stockholm Convention (SC) on Persistent Organic Pollutants (POPs) in May 2003 and developed its National Implementation Plan (NIP) in 2005 with the assistance from the United Nations </w:t>
      </w:r>
      <w:r w:rsidRPr="00B51B95">
        <w:rPr>
          <w:rFonts w:cstheme="minorHAnsi"/>
          <w:color w:val="000000" w:themeColor="text1"/>
        </w:rPr>
        <w:lastRenderedPageBreak/>
        <w:t xml:space="preserve">Environment </w:t>
      </w:r>
      <w:proofErr w:type="spellStart"/>
      <w:r w:rsidRPr="00B51B95">
        <w:rPr>
          <w:rFonts w:cstheme="minorHAnsi"/>
          <w:color w:val="000000" w:themeColor="text1"/>
        </w:rPr>
        <w:t>Programme</w:t>
      </w:r>
      <w:proofErr w:type="spellEnd"/>
      <w:r w:rsidRPr="00B51B95">
        <w:rPr>
          <w:rFonts w:cstheme="minorHAnsi"/>
          <w:color w:val="000000" w:themeColor="text1"/>
        </w:rPr>
        <w:t xml:space="preserve"> (UNEP) as GEF Implementing Agency, and has already submitted the review and update of its NIP as part of its commitment under the SC. Under the SC, a total of 26 chemical substances are listed as POPs, including pesticides (such as DDT), industrial chemicals (such as polychlorinated biphenyls, PCBs) and unintentional by-products of industrial processes (such as dioxins and furans). The last group of chemicals is often called Unintentionally Produced POPs (UPOPs). </w:t>
      </w:r>
    </w:p>
    <w:p w14:paraId="70AFAC4C"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Existing local policy and regulations on sound management of harmful chemicals and wastes need to be carefully assessed and revised to ensure that they align with the specialized guidelines of the Stockholm, Rotterdam, and Basel Conventions. The proposed Environmental Health and Pollution Management Project (EHPMP) will contribute to reducing environmental health risks by reducing the release of UPOPs and other toxic chemicals and by establishing environmentally</w:t>
      </w:r>
      <w:r>
        <w:rPr>
          <w:rFonts w:cstheme="minorHAnsi"/>
          <w:color w:val="000000" w:themeColor="text1"/>
        </w:rPr>
        <w:t>-</w:t>
      </w:r>
      <w:r w:rsidRPr="00B51B95">
        <w:rPr>
          <w:rFonts w:cstheme="minorHAnsi"/>
          <w:color w:val="000000" w:themeColor="text1"/>
        </w:rPr>
        <w:t>sound management (ESM) of harmful chemicals and urban waste.</w:t>
      </w:r>
    </w:p>
    <w:p w14:paraId="1E71DC4B" w14:textId="77777777" w:rsidR="00D70D43" w:rsidRPr="009E5D0A"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9E5D0A">
        <w:rPr>
          <w:rFonts w:cstheme="minorHAnsi"/>
          <w:color w:val="000000" w:themeColor="text1"/>
        </w:rPr>
        <w:t>The Project will build on, and complement, activities financed under a Bank-funded project, the Senegal Municipal Solid Waste Management Project (</w:t>
      </w:r>
      <w:proofErr w:type="spellStart"/>
      <w:r w:rsidRPr="009E5D0A">
        <w:rPr>
          <w:rFonts w:cstheme="minorHAnsi"/>
          <w:color w:val="000000" w:themeColor="text1"/>
        </w:rPr>
        <w:t>Projet</w:t>
      </w:r>
      <w:proofErr w:type="spellEnd"/>
      <w:r w:rsidRPr="009E5D0A">
        <w:rPr>
          <w:rFonts w:cstheme="minorHAnsi"/>
          <w:color w:val="000000" w:themeColor="text1"/>
        </w:rPr>
        <w:t xml:space="preserve"> de Promotion de la Gestion </w:t>
      </w:r>
      <w:proofErr w:type="spellStart"/>
      <w:r w:rsidRPr="009E5D0A">
        <w:rPr>
          <w:rFonts w:cstheme="minorHAnsi"/>
          <w:color w:val="000000" w:themeColor="text1"/>
        </w:rPr>
        <w:t>Intégrée</w:t>
      </w:r>
      <w:proofErr w:type="spellEnd"/>
      <w:r w:rsidRPr="009E5D0A">
        <w:rPr>
          <w:rFonts w:cstheme="minorHAnsi"/>
          <w:color w:val="000000" w:themeColor="text1"/>
        </w:rPr>
        <w:t xml:space="preserve"> et de </w:t>
      </w:r>
      <w:proofErr w:type="spellStart"/>
      <w:r w:rsidRPr="009E5D0A">
        <w:rPr>
          <w:rFonts w:cstheme="minorHAnsi"/>
          <w:color w:val="000000" w:themeColor="text1"/>
        </w:rPr>
        <w:t>l’Economie</w:t>
      </w:r>
      <w:proofErr w:type="spellEnd"/>
      <w:r w:rsidRPr="009E5D0A">
        <w:rPr>
          <w:rFonts w:cstheme="minorHAnsi"/>
          <w:color w:val="000000" w:themeColor="text1"/>
        </w:rPr>
        <w:t xml:space="preserve"> des </w:t>
      </w:r>
      <w:proofErr w:type="spellStart"/>
      <w:r w:rsidRPr="009E5D0A">
        <w:rPr>
          <w:rFonts w:cstheme="minorHAnsi"/>
          <w:color w:val="000000" w:themeColor="text1"/>
        </w:rPr>
        <w:t>Déchets</w:t>
      </w:r>
      <w:proofErr w:type="spellEnd"/>
      <w:r w:rsidRPr="009E5D0A">
        <w:rPr>
          <w:rFonts w:cstheme="minorHAnsi"/>
          <w:color w:val="000000" w:themeColor="text1"/>
        </w:rPr>
        <w:t xml:space="preserve"> au Senegal – PROMOGED) (P161477), which focuses on improved solid waste management services in selected cities in Senegal. Under the PROMOGED, the World Bank and other donors will support the implementation of the National Waste Management Plan (PNGD) as a second of an earlier phase financed by the Islamic Bank in 3 cities.  The PROMOGED will focus on sector reforms, infrastructure investments, and improving waste management along the entire value chain in the Greater Dakar and in secondary cities/municipalities. The proposed EHPMP will pilot new waste management approaches through PPP and if successful, lessons learned could replicated for scaling-up through PROMOGED.  As such, </w:t>
      </w:r>
      <w:r>
        <w:rPr>
          <w:rFonts w:cstheme="minorHAnsi"/>
          <w:color w:val="000000" w:themeColor="text1"/>
        </w:rPr>
        <w:t>t</w:t>
      </w:r>
      <w:r w:rsidRPr="009E5D0A">
        <w:rPr>
          <w:rFonts w:cstheme="minorHAnsi"/>
          <w:color w:val="000000" w:themeColor="text1"/>
        </w:rPr>
        <w:t xml:space="preserve">he combination of PROMOGED and </w:t>
      </w:r>
      <w:r>
        <w:rPr>
          <w:rFonts w:cstheme="minorHAnsi"/>
          <w:color w:val="000000" w:themeColor="text1"/>
        </w:rPr>
        <w:t>EHPMP</w:t>
      </w:r>
      <w:r w:rsidRPr="009E5D0A">
        <w:rPr>
          <w:rFonts w:cstheme="minorHAnsi"/>
          <w:color w:val="000000" w:themeColor="text1"/>
        </w:rPr>
        <w:t xml:space="preserve"> will ensure long term improvement of solid waste management in the Greater Dakar. </w:t>
      </w:r>
    </w:p>
    <w:p w14:paraId="111CE651" w14:textId="77777777" w:rsidR="00D70D43" w:rsidRPr="00B51B95" w:rsidRDefault="00D70D43" w:rsidP="00D70D43">
      <w:pPr>
        <w:pStyle w:val="ListParagraph"/>
        <w:spacing w:after="120"/>
        <w:ind w:left="0"/>
        <w:jc w:val="both"/>
        <w:rPr>
          <w:rFonts w:cstheme="minorHAnsi"/>
          <w:color w:val="000000" w:themeColor="text1"/>
        </w:rPr>
      </w:pPr>
      <w:r w:rsidRPr="00B51B95">
        <w:rPr>
          <w:rFonts w:cstheme="minorHAnsi"/>
          <w:b/>
          <w:bCs/>
          <w:color w:val="000000" w:themeColor="text1"/>
        </w:rPr>
        <w:t xml:space="preserve">C. </w:t>
      </w:r>
      <w:r w:rsidRPr="00B51B95">
        <w:rPr>
          <w:rFonts w:eastAsia="SimSun" w:cstheme="minorHAnsi"/>
          <w:b/>
          <w:color w:val="000000" w:themeColor="text1"/>
        </w:rPr>
        <w:t>Relationship to CPF / Links to CPF</w:t>
      </w:r>
    </w:p>
    <w:p w14:paraId="1CBC6654" w14:textId="77777777" w:rsidR="00D70D43" w:rsidRPr="00B51B95" w:rsidRDefault="00D70D43" w:rsidP="00D70D43">
      <w:pPr>
        <w:pStyle w:val="ListParagraph"/>
        <w:spacing w:after="120"/>
        <w:ind w:left="0"/>
        <w:jc w:val="both"/>
        <w:rPr>
          <w:rFonts w:cstheme="minorHAnsi"/>
          <w:color w:val="000000" w:themeColor="text1"/>
        </w:rPr>
      </w:pPr>
    </w:p>
    <w:p w14:paraId="02AE6123" w14:textId="77777777" w:rsidR="00D70D43" w:rsidRPr="00B51B95" w:rsidRDefault="00D70D43" w:rsidP="002E38A2">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The proposed Project is in line with the Senegal draft Country Partnership Framework (CPF) (FY19–FY24), specifically with focus area 3 on increasing resilience and sustainability in a context of growing risks. Objective 3.1 aims at ensuring decent living conditions in the most vulnerable areas with a focus on rural electricity, water/sanitation and urban waste. </w:t>
      </w:r>
      <w:r>
        <w:rPr>
          <w:rFonts w:cstheme="minorHAnsi"/>
          <w:color w:val="000000" w:themeColor="text1"/>
        </w:rPr>
        <w:t xml:space="preserve"> </w:t>
      </w:r>
      <w:r w:rsidRPr="00B51B95">
        <w:rPr>
          <w:rFonts w:cstheme="minorHAnsi"/>
          <w:color w:val="000000" w:themeColor="text1"/>
        </w:rPr>
        <w:t xml:space="preserve">The project is envisioned to contribute to increase access to solid waste management services, by supporting institutional strengthening and capacity building of stakeholders, jointly with the PROMOGED. </w:t>
      </w:r>
      <w:r>
        <w:rPr>
          <w:rFonts w:cstheme="minorHAnsi"/>
          <w:color w:val="000000" w:themeColor="text1"/>
        </w:rPr>
        <w:t xml:space="preserve"> </w:t>
      </w:r>
      <w:r w:rsidRPr="00B51B95">
        <w:rPr>
          <w:rFonts w:cstheme="minorHAnsi"/>
          <w:color w:val="000000" w:themeColor="text1"/>
        </w:rPr>
        <w:t xml:space="preserve">The Program is also consistent with the Bank’s strategy to provide multi-sector support to the Government of Senegal to support its PSE. </w:t>
      </w:r>
    </w:p>
    <w:p w14:paraId="3810E5E8" w14:textId="77777777" w:rsidR="008E0E09" w:rsidRDefault="00D70D43" w:rsidP="008E0E09">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B51B95">
        <w:rPr>
          <w:rFonts w:cstheme="minorHAnsi"/>
          <w:color w:val="000000" w:themeColor="text1"/>
        </w:rPr>
        <w:t xml:space="preserve">The </w:t>
      </w:r>
      <w:r>
        <w:rPr>
          <w:rFonts w:cstheme="minorHAnsi"/>
          <w:color w:val="000000" w:themeColor="text1"/>
        </w:rPr>
        <w:t>P</w:t>
      </w:r>
      <w:r w:rsidRPr="00B51B95">
        <w:rPr>
          <w:rFonts w:cstheme="minorHAnsi"/>
          <w:color w:val="000000" w:themeColor="text1"/>
        </w:rPr>
        <w:t xml:space="preserve">roject is also fully aligned with Senegal’s revised and updated national implementation plan (NIP) recently submitted to the Stockholm Convention secretariat, and which shows the significance, and the priority attached to POPs releases from unsound management practices for solid waste and e-waste. </w:t>
      </w:r>
    </w:p>
    <w:p w14:paraId="3692ADA2" w14:textId="0C5D4F18" w:rsidR="00580478" w:rsidRPr="008E0E09" w:rsidRDefault="008E0E09" w:rsidP="008E0E09">
      <w:pPr>
        <w:pStyle w:val="ListParagraph"/>
        <w:numPr>
          <w:ilvl w:val="0"/>
          <w:numId w:val="28"/>
        </w:numPr>
        <w:autoSpaceDE w:val="0"/>
        <w:autoSpaceDN w:val="0"/>
        <w:adjustRightInd w:val="0"/>
        <w:ind w:left="0" w:hanging="432"/>
        <w:contextualSpacing w:val="0"/>
        <w:jc w:val="both"/>
        <w:rPr>
          <w:rFonts w:cstheme="minorHAnsi"/>
          <w:color w:val="000000" w:themeColor="text1"/>
        </w:rPr>
      </w:pPr>
      <w:r w:rsidRPr="008E0E09">
        <w:rPr>
          <w:rFonts w:cstheme="minorHAnsi"/>
          <w:bCs/>
        </w:rPr>
        <w:t>The project will contribute to the</w:t>
      </w:r>
      <w:r w:rsidRPr="008E0E09">
        <w:rPr>
          <w:rFonts w:cstheme="minorHAnsi"/>
          <w:b/>
          <w:bCs/>
        </w:rPr>
        <w:t xml:space="preserve"> </w:t>
      </w:r>
      <w:r w:rsidRPr="008E0E09">
        <w:rPr>
          <w:rFonts w:cstheme="minorHAnsi"/>
          <w:bCs/>
        </w:rPr>
        <w:t>GEF 6 Chemicals and Waste Focal Area Strategy</w:t>
      </w:r>
      <w:r w:rsidRPr="008E0E09">
        <w:rPr>
          <w:rFonts w:cstheme="minorHAnsi"/>
          <w:b/>
          <w:bCs/>
        </w:rPr>
        <w:t xml:space="preserve"> </w:t>
      </w:r>
      <w:r w:rsidRPr="008E0E09">
        <w:rPr>
          <w:rFonts w:cstheme="minorHAnsi"/>
          <w:bCs/>
        </w:rPr>
        <w:t xml:space="preserve">that aims “to prevent the exposure of humans and the environment to harmful chemicals and waste of global importance including POPs, mercury and ozone depleting substances.”  The project will be implemented in synergy with other ongoing projects and initiatives supporting the environmental health agenda in Africa. Principal among these projects are the </w:t>
      </w:r>
      <w:r w:rsidRPr="008E0E09">
        <w:rPr>
          <w:rFonts w:cstheme="minorHAnsi"/>
          <w:bCs/>
          <w:i/>
        </w:rPr>
        <w:t>GEF Knowledge Exchange and Institutional Partnerships to Reduce Environmental Health Risks from Exposure to Harmful Chemicals and Waste</w:t>
      </w:r>
      <w:r w:rsidRPr="008E0E09">
        <w:rPr>
          <w:rFonts w:cstheme="minorHAnsi"/>
          <w:bCs/>
        </w:rPr>
        <w:t xml:space="preserve"> (BETF, P166233)</w:t>
      </w:r>
      <w:r w:rsidRPr="008E0E09">
        <w:rPr>
          <w:rFonts w:cstheme="minorHAnsi"/>
        </w:rPr>
        <w:t>.</w:t>
      </w:r>
    </w:p>
    <w:p w14:paraId="190BB34E" w14:textId="11B70DA2" w:rsidR="00D70D43" w:rsidRPr="00923CCF" w:rsidRDefault="00D70D43" w:rsidP="00D70D43">
      <w:pPr>
        <w:keepNext/>
        <w:jc w:val="both"/>
        <w:rPr>
          <w:rFonts w:cstheme="minorHAnsi"/>
          <w:b/>
          <w:color w:val="000000" w:themeColor="text1"/>
        </w:rPr>
      </w:pPr>
      <w:r>
        <w:rPr>
          <w:rFonts w:cstheme="minorHAnsi"/>
          <w:b/>
          <w:color w:val="000000" w:themeColor="text1"/>
        </w:rPr>
        <w:lastRenderedPageBreak/>
        <w:t>PROJECT DESCRIPTION</w:t>
      </w:r>
    </w:p>
    <w:p w14:paraId="70EA7260" w14:textId="77777777" w:rsidR="00D70D43" w:rsidRDefault="00D70D43" w:rsidP="00D70D43">
      <w:pPr>
        <w:keepNext/>
        <w:jc w:val="both"/>
        <w:rPr>
          <w:rFonts w:cstheme="minorHAnsi"/>
          <w:b/>
          <w:color w:val="000000" w:themeColor="text1"/>
        </w:rPr>
      </w:pPr>
      <w:r w:rsidRPr="00923CCF">
        <w:rPr>
          <w:rFonts w:cstheme="minorHAnsi"/>
          <w:b/>
          <w:color w:val="000000" w:themeColor="text1"/>
        </w:rPr>
        <w:t xml:space="preserve">A – </w:t>
      </w:r>
      <w:r>
        <w:rPr>
          <w:rFonts w:cstheme="minorHAnsi"/>
          <w:b/>
          <w:color w:val="000000" w:themeColor="text1"/>
        </w:rPr>
        <w:t>Project Development Objective</w:t>
      </w:r>
    </w:p>
    <w:p w14:paraId="6D32D22C" w14:textId="77777777" w:rsidR="00D70D43" w:rsidRPr="009542A2" w:rsidRDefault="00D70D43" w:rsidP="00D70D43">
      <w:pPr>
        <w:pStyle w:val="ListParagraph"/>
        <w:ind w:left="0"/>
        <w:jc w:val="both"/>
        <w:rPr>
          <w:rFonts w:cstheme="minorHAnsi"/>
          <w:color w:val="000000" w:themeColor="text1"/>
        </w:rPr>
      </w:pPr>
    </w:p>
    <w:p w14:paraId="51B5C138" w14:textId="213F5A66" w:rsidR="00D70D43" w:rsidRPr="00E86F7D" w:rsidRDefault="00D70D43" w:rsidP="002E38A2">
      <w:pPr>
        <w:pStyle w:val="ListParagraph"/>
        <w:widowControl w:val="0"/>
        <w:numPr>
          <w:ilvl w:val="0"/>
          <w:numId w:val="28"/>
        </w:numPr>
        <w:autoSpaceDE w:val="0"/>
        <w:autoSpaceDN w:val="0"/>
        <w:adjustRightInd w:val="0"/>
        <w:spacing w:after="120" w:line="240" w:lineRule="auto"/>
        <w:ind w:left="0"/>
        <w:jc w:val="both"/>
        <w:rPr>
          <w:rFonts w:cstheme="minorHAnsi"/>
          <w:color w:val="000000" w:themeColor="text1"/>
        </w:rPr>
      </w:pPr>
      <w:r w:rsidRPr="00E86F7D">
        <w:rPr>
          <w:rFonts w:cstheme="minorHAnsi"/>
          <w:color w:val="000000" w:themeColor="text1"/>
        </w:rPr>
        <w:t xml:space="preserve">The Project Development Objective (PDO) is to reduce exposure to </w:t>
      </w:r>
      <w:proofErr w:type="spellStart"/>
      <w:r w:rsidRPr="00E86F7D">
        <w:rPr>
          <w:rFonts w:cstheme="minorHAnsi"/>
          <w:color w:val="000000" w:themeColor="text1"/>
        </w:rPr>
        <w:t>uPOPs</w:t>
      </w:r>
      <w:proofErr w:type="spellEnd"/>
      <w:r w:rsidRPr="00E86F7D">
        <w:rPr>
          <w:rFonts w:cstheme="minorHAnsi"/>
          <w:color w:val="000000" w:themeColor="text1"/>
        </w:rPr>
        <w:t xml:space="preserve"> pollution </w:t>
      </w:r>
      <w:r w:rsidRPr="00E86F7D">
        <w:rPr>
          <w:rFonts w:cstheme="minorHAnsi"/>
          <w:bCs/>
        </w:rPr>
        <w:t xml:space="preserve">in pilot sites </w:t>
      </w:r>
      <w:r w:rsidRPr="00E86F7D">
        <w:rPr>
          <w:rFonts w:cstheme="minorHAnsi"/>
          <w:color w:val="000000" w:themeColor="text1"/>
        </w:rPr>
        <w:t xml:space="preserve">and strengthen the institutional capacity to manage and regulate </w:t>
      </w:r>
      <w:r w:rsidR="00580478">
        <w:rPr>
          <w:rFonts w:cstheme="minorHAnsi"/>
          <w:color w:val="000000" w:themeColor="text1"/>
        </w:rPr>
        <w:t>urban</w:t>
      </w:r>
      <w:r w:rsidR="00176C43">
        <w:rPr>
          <w:rFonts w:cstheme="minorHAnsi"/>
          <w:color w:val="000000" w:themeColor="text1"/>
        </w:rPr>
        <w:t xml:space="preserve"> </w:t>
      </w:r>
      <w:r w:rsidRPr="00E86F7D">
        <w:rPr>
          <w:rFonts w:cstheme="minorHAnsi"/>
          <w:color w:val="000000" w:themeColor="text1"/>
        </w:rPr>
        <w:t>waste in</w:t>
      </w:r>
      <w:r w:rsidRPr="00E86F7D">
        <w:rPr>
          <w:noProof/>
          <w:szCs w:val="18"/>
        </w:rPr>
        <w:t xml:space="preserve"> </w:t>
      </w:r>
      <w:r>
        <w:rPr>
          <w:noProof/>
          <w:szCs w:val="18"/>
        </w:rPr>
        <w:t>Senegal</w:t>
      </w:r>
      <w:r w:rsidRPr="00E86F7D">
        <w:rPr>
          <w:noProof/>
          <w:szCs w:val="18"/>
        </w:rPr>
        <w:t>.</w:t>
      </w:r>
    </w:p>
    <w:p w14:paraId="4DC30CAB" w14:textId="77777777" w:rsidR="00170C51" w:rsidRDefault="00170C51" w:rsidP="00D70D43">
      <w:pPr>
        <w:keepNext/>
        <w:jc w:val="both"/>
        <w:rPr>
          <w:rFonts w:cstheme="minorHAnsi"/>
          <w:b/>
          <w:color w:val="000000" w:themeColor="text1"/>
        </w:rPr>
      </w:pPr>
    </w:p>
    <w:p w14:paraId="6CE9D4E2" w14:textId="446E125B" w:rsidR="00D70D43" w:rsidRDefault="00D70D43" w:rsidP="00D70D43">
      <w:pPr>
        <w:keepNext/>
        <w:jc w:val="both"/>
        <w:rPr>
          <w:rFonts w:cstheme="minorHAnsi"/>
          <w:b/>
          <w:color w:val="000000" w:themeColor="text1"/>
        </w:rPr>
      </w:pPr>
      <w:r w:rsidRPr="008222E7">
        <w:rPr>
          <w:rFonts w:cstheme="minorHAnsi"/>
          <w:b/>
          <w:color w:val="000000" w:themeColor="text1"/>
        </w:rPr>
        <w:t>B – Pro</w:t>
      </w:r>
      <w:r>
        <w:rPr>
          <w:rFonts w:cstheme="minorHAnsi"/>
          <w:b/>
          <w:color w:val="000000" w:themeColor="text1"/>
        </w:rPr>
        <w:t>ject Components</w:t>
      </w:r>
    </w:p>
    <w:p w14:paraId="408503A3"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266CFB">
        <w:rPr>
          <w:rFonts w:ascii="Calibri" w:eastAsia="Times New Roman" w:hAnsi="Calibri" w:cs="Calibri"/>
          <w:b/>
        </w:rPr>
        <w:t xml:space="preserve">Component 1: Institutional strengthening, knowledge and capacity building (US$ 1.5 million GEF). </w:t>
      </w:r>
      <w:r w:rsidRPr="00266CFB">
        <w:rPr>
          <w:rFonts w:ascii="Calibri" w:eastAsia="Times New Roman" w:hAnsi="Calibri" w:cs="Calibri"/>
        </w:rPr>
        <w:t xml:space="preserve">There is an urgent need to build relevant capacities and to reform the legal and institutional framework for minimizing UPOPs from open burning of urban and other toxic wastes.  </w:t>
      </w:r>
      <w:r w:rsidRPr="00547B1B">
        <w:rPr>
          <w:rFonts w:ascii="Calibri" w:eastAsia="Times New Roman" w:hAnsi="Calibri" w:cs="Calibri"/>
        </w:rPr>
        <w:t xml:space="preserve">The Project will assist the Government of Senegal in ensuring that adequate official guidance documents are available to support the implementation of the Stockholm Convention and its amendments.  Supporting material is needed to fill the legal gap for environmentally-sound management of municipal solid waste and hazardous waste.  Appropriate </w:t>
      </w: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A</w:t>
      </w:r>
      <w:r w:rsidRPr="00547B1B">
        <w:rPr>
          <w:rFonts w:ascii="Calibri" w:eastAsia="Times New Roman" w:hAnsi="Calibri" w:cs="Calibri"/>
        </w:rPr>
        <w:t xml:space="preserve">vailable </w:t>
      </w:r>
      <w:r>
        <w:rPr>
          <w:rFonts w:ascii="Calibri" w:eastAsia="Times New Roman" w:hAnsi="Calibri" w:cs="Calibri"/>
        </w:rPr>
        <w:t>T</w:t>
      </w:r>
      <w:r w:rsidRPr="00547B1B">
        <w:rPr>
          <w:rFonts w:ascii="Calibri" w:eastAsia="Times New Roman" w:hAnsi="Calibri" w:cs="Calibri"/>
        </w:rPr>
        <w:t xml:space="preserve">echniques (BAT) and </w:t>
      </w: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E</w:t>
      </w:r>
      <w:r w:rsidRPr="00547B1B">
        <w:rPr>
          <w:rFonts w:ascii="Calibri" w:eastAsia="Times New Roman" w:hAnsi="Calibri" w:cs="Calibri"/>
        </w:rPr>
        <w:t xml:space="preserve">nvironmental </w:t>
      </w:r>
      <w:r>
        <w:rPr>
          <w:rFonts w:ascii="Calibri" w:eastAsia="Times New Roman" w:hAnsi="Calibri" w:cs="Calibri"/>
        </w:rPr>
        <w:t>P</w:t>
      </w:r>
      <w:r w:rsidRPr="00547B1B">
        <w:rPr>
          <w:rFonts w:ascii="Calibri" w:eastAsia="Times New Roman" w:hAnsi="Calibri" w:cs="Calibri"/>
        </w:rPr>
        <w:t xml:space="preserve">ractices (BEP) will be established and implemented to reduce the release of UPOPs from open burning practices. </w:t>
      </w:r>
    </w:p>
    <w:p w14:paraId="49E96A91" w14:textId="77777777" w:rsidR="00D70D43" w:rsidRPr="00547B1B" w:rsidRDefault="00D70D43" w:rsidP="00D70D43">
      <w:pPr>
        <w:jc w:val="both"/>
        <w:rPr>
          <w:rFonts w:ascii="Calibri" w:eastAsia="Times New Roman" w:hAnsi="Calibri" w:cs="Calibri"/>
        </w:rPr>
      </w:pPr>
    </w:p>
    <w:p w14:paraId="1AAA1B2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This component will support initiatives taken by the Government, and the municipalities of </w:t>
      </w:r>
      <w:proofErr w:type="spellStart"/>
      <w:r>
        <w:rPr>
          <w:rFonts w:ascii="Calibri" w:eastAsia="Times New Roman" w:hAnsi="Calibri" w:cs="Calibri"/>
        </w:rPr>
        <w:t>Maristes</w:t>
      </w:r>
      <w:proofErr w:type="spellEnd"/>
      <w:r w:rsidRPr="00547B1B">
        <w:rPr>
          <w:rFonts w:ascii="Calibri" w:eastAsia="Times New Roman" w:hAnsi="Calibri" w:cs="Calibri"/>
        </w:rPr>
        <w:t xml:space="preserve"> and </w:t>
      </w:r>
      <w:proofErr w:type="spellStart"/>
      <w:r w:rsidRPr="00547B1B">
        <w:rPr>
          <w:rFonts w:ascii="Calibri" w:eastAsia="Times New Roman" w:hAnsi="Calibri" w:cs="Calibri"/>
        </w:rPr>
        <w:t>Dalifort</w:t>
      </w:r>
      <w:proofErr w:type="spellEnd"/>
      <w:r w:rsidRPr="00547B1B">
        <w:rPr>
          <w:rFonts w:ascii="Calibri" w:eastAsia="Times New Roman" w:hAnsi="Calibri" w:cs="Calibri"/>
        </w:rPr>
        <w:t>, as initial targeted areas, and potentially other municipalities in Dakar, to establish legal and institutional tools to formalize waste management system</w:t>
      </w:r>
      <w:r>
        <w:rPr>
          <w:rFonts w:ascii="Calibri" w:eastAsia="Times New Roman" w:hAnsi="Calibri" w:cs="Calibri"/>
        </w:rPr>
        <w:t>s</w:t>
      </w:r>
      <w:r w:rsidRPr="00547B1B">
        <w:rPr>
          <w:rFonts w:ascii="Calibri" w:eastAsia="Times New Roman" w:hAnsi="Calibri" w:cs="Calibri"/>
        </w:rPr>
        <w:t xml:space="preserve"> and to promote resource reduction, re-use, recycling, and composting.  The creation of an enabling policy and regulatory environment is only effective if it is accompanied by regular monitoring.  With support from NGOs, awareness campaigns, training and study tours on sound management of waste will be conducted at all levels.  The awareness and training program will commence with stakeholder mapping that will include private sector and informal sector stakeholders.  The impact on human health and the environment from the release of UPOPs (dioxins and furans) from open burning will be considered.  This requires providing recommendations that can discourage improper waste disposal and improving the collection and recycling systems.  This, also, can lead to a switch of mentality from "dump-it-yourself" approach to an efficient collection system adoption.  Under this component, an information, education and communication strategy will be developed to disseminate the policy and guidelines on harmful chemicals and wastes management to key stakeholders and to explain how appropriate project implementation can lead to the creation of profitable business and job opportunities.  A series of events will be held to explain to the residents why sorted waste is important and how the collection of recyclable waste discharged from homes such as used paper, cardboard, empty containers (cans, plastic bottles) can generate income.  Recyclers and waste pickers will receive adequate training on occupational health and safer practices.</w:t>
      </w:r>
    </w:p>
    <w:p w14:paraId="0AE0CF9C" w14:textId="77777777" w:rsidR="00D70D43" w:rsidRPr="00547B1B" w:rsidRDefault="00D70D43" w:rsidP="00D70D43">
      <w:pPr>
        <w:jc w:val="both"/>
        <w:rPr>
          <w:rFonts w:ascii="Calibri" w:eastAsia="Times New Roman" w:hAnsi="Calibri" w:cs="Calibri"/>
        </w:rPr>
      </w:pPr>
    </w:p>
    <w:p w14:paraId="6D8953BC"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Operating an efficient, effective, environmentally-sound municipal solid waste management program requires building institutional capacity for relevant government agencies, including DEEC and UCG, and private sector players and technical capacity for designing, operating, maintaining, and monitoring each part of the process. </w:t>
      </w:r>
    </w:p>
    <w:p w14:paraId="485E38C0" w14:textId="77777777" w:rsidR="00D70D43" w:rsidRPr="00547B1B" w:rsidRDefault="00D70D43" w:rsidP="00D70D43">
      <w:pPr>
        <w:jc w:val="both"/>
        <w:rPr>
          <w:rFonts w:ascii="Calibri" w:eastAsia="Times New Roman" w:hAnsi="Calibri" w:cs="Calibri"/>
        </w:rPr>
      </w:pPr>
    </w:p>
    <w:p w14:paraId="61B3F57D" w14:textId="77777777" w:rsidR="00D70D43" w:rsidRPr="00A309B2" w:rsidRDefault="00D70D43" w:rsidP="002E38A2">
      <w:pPr>
        <w:pStyle w:val="ListParagraph"/>
        <w:widowControl w:val="0"/>
        <w:numPr>
          <w:ilvl w:val="0"/>
          <w:numId w:val="28"/>
        </w:numPr>
        <w:autoSpaceDE w:val="0"/>
        <w:autoSpaceDN w:val="0"/>
        <w:adjustRightInd w:val="0"/>
        <w:spacing w:after="0" w:line="240" w:lineRule="auto"/>
        <w:ind w:left="0" w:hanging="450"/>
        <w:jc w:val="both"/>
        <w:rPr>
          <w:rFonts w:ascii="Calibri" w:eastAsia="Times New Roman" w:hAnsi="Calibri" w:cs="Calibri"/>
        </w:rPr>
      </w:pPr>
      <w:r w:rsidRPr="00A309B2">
        <w:rPr>
          <w:rFonts w:ascii="Calibri" w:eastAsia="Times New Roman" w:hAnsi="Calibri" w:cs="Calibri"/>
        </w:rPr>
        <w:t xml:space="preserve">The Component will ensure national level stakeholder coordination and participation of relevant agencies in the regional learning and knowledge sharing activities on the harmful </w:t>
      </w:r>
      <w:proofErr w:type="gramStart"/>
      <w:r w:rsidRPr="00A309B2">
        <w:rPr>
          <w:rFonts w:ascii="Calibri" w:eastAsia="Times New Roman" w:hAnsi="Calibri" w:cs="Calibri"/>
        </w:rPr>
        <w:t>chemicals</w:t>
      </w:r>
      <w:proofErr w:type="gramEnd"/>
      <w:r w:rsidRPr="00A309B2">
        <w:rPr>
          <w:rFonts w:ascii="Calibri" w:eastAsia="Times New Roman" w:hAnsi="Calibri" w:cs="Calibri"/>
        </w:rPr>
        <w:t xml:space="preserve"> agenda, to be carried out jointly with the PROMOGED to ensure no duplication of activities.  This will contribute to strengthening regional partnerships and collaboration.</w:t>
      </w:r>
    </w:p>
    <w:p w14:paraId="4FDDB126" w14:textId="77777777" w:rsidR="00D70D43" w:rsidRPr="00A309B2" w:rsidRDefault="00D70D43" w:rsidP="00D70D43">
      <w:pPr>
        <w:jc w:val="both"/>
        <w:rPr>
          <w:rFonts w:ascii="Calibri" w:eastAsia="Times New Roman" w:hAnsi="Calibri" w:cs="Calibri"/>
        </w:rPr>
      </w:pPr>
    </w:p>
    <w:p w14:paraId="06E1D87F"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i/>
        </w:rPr>
        <w:t>Expected component outputs:</w:t>
      </w:r>
    </w:p>
    <w:p w14:paraId="213B43E0" w14:textId="77777777" w:rsidR="00D70D43" w:rsidRPr="00547B1B"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 xml:space="preserve">Training delivered to different stakeholder groups on: 1) the new/amended legislation, regulations, and bylaws on waste management; and 2) BAT/BEP for national and municipal waste management (generation, collection, transportation, sorting, treatment, recycling, and disposal) </w:t>
      </w:r>
    </w:p>
    <w:p w14:paraId="79A7A3A4" w14:textId="77777777" w:rsidR="00D70D43" w:rsidRPr="00547B1B"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Targeted study tours organized to share knowledge and expertise and contribute to regional framework of action</w:t>
      </w:r>
    </w:p>
    <w:p w14:paraId="2F3DBE6B" w14:textId="77777777" w:rsidR="00D70D43" w:rsidRPr="00547B1B"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Stakeholder Mapping (including private and informal sectors)</w:t>
      </w:r>
    </w:p>
    <w:p w14:paraId="6EBEE1D0" w14:textId="77777777" w:rsidR="00D70D43" w:rsidRPr="00547B1B" w:rsidRDefault="00D70D43" w:rsidP="002E38A2">
      <w:pPr>
        <w:numPr>
          <w:ilvl w:val="0"/>
          <w:numId w:val="25"/>
        </w:numPr>
        <w:ind w:left="450"/>
        <w:contextualSpacing/>
        <w:jc w:val="both"/>
        <w:rPr>
          <w:rFonts w:ascii="Calibri" w:eastAsia="Times New Roman" w:hAnsi="Calibri" w:cs="Calibri"/>
          <w:b/>
        </w:rPr>
      </w:pPr>
      <w:r w:rsidRPr="00547B1B">
        <w:rPr>
          <w:rFonts w:ascii="Calibri" w:eastAsia="Times New Roman" w:hAnsi="Calibri" w:cs="Calibri"/>
        </w:rPr>
        <w:t xml:space="preserve">Communication strategy developed and </w:t>
      </w:r>
      <w:r>
        <w:rPr>
          <w:rFonts w:ascii="Calibri" w:eastAsia="Times New Roman" w:hAnsi="Calibri" w:cs="Calibri"/>
        </w:rPr>
        <w:t>implemented</w:t>
      </w:r>
    </w:p>
    <w:p w14:paraId="2BE9EBB0" w14:textId="77777777" w:rsidR="00D70D43" w:rsidRDefault="00D70D43" w:rsidP="002E38A2">
      <w:pPr>
        <w:numPr>
          <w:ilvl w:val="0"/>
          <w:numId w:val="25"/>
        </w:numPr>
        <w:ind w:left="450"/>
        <w:contextualSpacing/>
        <w:jc w:val="both"/>
        <w:rPr>
          <w:rFonts w:ascii="Calibri" w:eastAsia="Times New Roman" w:hAnsi="Calibri" w:cs="Calibri"/>
        </w:rPr>
      </w:pPr>
      <w:r w:rsidRPr="00547B1B">
        <w:rPr>
          <w:rFonts w:ascii="Calibri" w:eastAsia="Times New Roman" w:hAnsi="Calibri" w:cs="Calibri"/>
        </w:rPr>
        <w:t>National Steering Committee established, and regional partnerships strengthened</w:t>
      </w:r>
    </w:p>
    <w:p w14:paraId="480393FB" w14:textId="77777777" w:rsidR="00D70D43" w:rsidRDefault="00D70D43" w:rsidP="002E38A2">
      <w:pPr>
        <w:numPr>
          <w:ilvl w:val="0"/>
          <w:numId w:val="25"/>
        </w:numPr>
        <w:ind w:left="450"/>
        <w:contextualSpacing/>
        <w:jc w:val="both"/>
        <w:rPr>
          <w:rFonts w:ascii="Calibri" w:eastAsia="Times New Roman" w:hAnsi="Calibri" w:cs="Calibri"/>
        </w:rPr>
      </w:pPr>
      <w:r>
        <w:rPr>
          <w:rFonts w:ascii="Calibri" w:eastAsia="Times New Roman" w:hAnsi="Calibri" w:cs="Calibri"/>
        </w:rPr>
        <w:t xml:space="preserve">Awareness of sound waste management and its benefits for human health and the environment built in Hann Bel Air, </w:t>
      </w:r>
      <w:proofErr w:type="spellStart"/>
      <w:r>
        <w:rPr>
          <w:rFonts w:ascii="Calibri" w:eastAsia="Times New Roman" w:hAnsi="Calibri" w:cs="Calibri"/>
        </w:rPr>
        <w:t>Dalifort</w:t>
      </w:r>
      <w:proofErr w:type="spellEnd"/>
      <w:r>
        <w:rPr>
          <w:rFonts w:ascii="Calibri" w:eastAsia="Times New Roman" w:hAnsi="Calibri" w:cs="Calibri"/>
        </w:rPr>
        <w:t>, and potentially other municipalities in Dakar.</w:t>
      </w:r>
      <w:r w:rsidDel="006020DC">
        <w:rPr>
          <w:rFonts w:ascii="Calibri" w:eastAsia="Times New Roman" w:hAnsi="Calibri" w:cs="Calibri"/>
        </w:rPr>
        <w:t xml:space="preserve"> </w:t>
      </w:r>
    </w:p>
    <w:p w14:paraId="4C50E43E" w14:textId="77777777" w:rsidR="00D70D43" w:rsidRPr="00547B1B" w:rsidRDefault="00D70D43" w:rsidP="002E38A2">
      <w:pPr>
        <w:numPr>
          <w:ilvl w:val="0"/>
          <w:numId w:val="25"/>
        </w:numPr>
        <w:ind w:left="450"/>
        <w:contextualSpacing/>
        <w:jc w:val="both"/>
        <w:rPr>
          <w:rFonts w:ascii="Calibri" w:eastAsia="Times New Roman" w:hAnsi="Calibri" w:cs="Calibri"/>
        </w:rPr>
      </w:pP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A</w:t>
      </w:r>
      <w:r w:rsidRPr="00547B1B">
        <w:rPr>
          <w:rFonts w:ascii="Calibri" w:eastAsia="Times New Roman" w:hAnsi="Calibri" w:cs="Calibri"/>
        </w:rPr>
        <w:t xml:space="preserve">vailable </w:t>
      </w:r>
      <w:r>
        <w:rPr>
          <w:rFonts w:ascii="Calibri" w:eastAsia="Times New Roman" w:hAnsi="Calibri" w:cs="Calibri"/>
        </w:rPr>
        <w:t>T</w:t>
      </w:r>
      <w:r w:rsidRPr="00547B1B">
        <w:rPr>
          <w:rFonts w:ascii="Calibri" w:eastAsia="Times New Roman" w:hAnsi="Calibri" w:cs="Calibri"/>
        </w:rPr>
        <w:t xml:space="preserve">echniques (BAT) and </w:t>
      </w:r>
      <w:r>
        <w:rPr>
          <w:rFonts w:ascii="Calibri" w:eastAsia="Times New Roman" w:hAnsi="Calibri" w:cs="Calibri"/>
        </w:rPr>
        <w:t>B</w:t>
      </w:r>
      <w:r w:rsidRPr="00547B1B">
        <w:rPr>
          <w:rFonts w:ascii="Calibri" w:eastAsia="Times New Roman" w:hAnsi="Calibri" w:cs="Calibri"/>
        </w:rPr>
        <w:t xml:space="preserve">est </w:t>
      </w:r>
      <w:r>
        <w:rPr>
          <w:rFonts w:ascii="Calibri" w:eastAsia="Times New Roman" w:hAnsi="Calibri" w:cs="Calibri"/>
        </w:rPr>
        <w:t>E</w:t>
      </w:r>
      <w:r w:rsidRPr="00547B1B">
        <w:rPr>
          <w:rFonts w:ascii="Calibri" w:eastAsia="Times New Roman" w:hAnsi="Calibri" w:cs="Calibri"/>
        </w:rPr>
        <w:t xml:space="preserve">nvironmental </w:t>
      </w:r>
      <w:r>
        <w:rPr>
          <w:rFonts w:ascii="Calibri" w:eastAsia="Times New Roman" w:hAnsi="Calibri" w:cs="Calibri"/>
        </w:rPr>
        <w:t>P</w:t>
      </w:r>
      <w:r w:rsidRPr="00547B1B">
        <w:rPr>
          <w:rFonts w:ascii="Calibri" w:eastAsia="Times New Roman" w:hAnsi="Calibri" w:cs="Calibri"/>
        </w:rPr>
        <w:t>ractices (BEP)</w:t>
      </w:r>
      <w:r>
        <w:rPr>
          <w:rFonts w:ascii="Calibri" w:eastAsia="Times New Roman" w:hAnsi="Calibri" w:cs="Calibri"/>
        </w:rPr>
        <w:t xml:space="preserve"> to reduce UPOPs from waste management disseminated to key stakeholders (municipalities, UCG and UCP/DEEC)</w:t>
      </w:r>
    </w:p>
    <w:p w14:paraId="5650F31E" w14:textId="77777777" w:rsidR="00D70D43" w:rsidRPr="00547B1B" w:rsidRDefault="00D70D43" w:rsidP="00D70D43">
      <w:pPr>
        <w:jc w:val="both"/>
        <w:rPr>
          <w:rFonts w:ascii="Calibri" w:eastAsia="Times New Roman" w:hAnsi="Calibri" w:cs="Calibri"/>
        </w:rPr>
      </w:pPr>
    </w:p>
    <w:p w14:paraId="7A8BA282"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b/>
        </w:rPr>
        <w:t xml:space="preserve">Component 2: Support to policy dialogue and regulatory enhancements (US$ 1 million GEF). </w:t>
      </w:r>
      <w:r w:rsidRPr="00547B1B">
        <w:rPr>
          <w:rFonts w:ascii="Calibri" w:eastAsia="Times New Roman" w:hAnsi="Calibri" w:cs="Calibri"/>
        </w:rPr>
        <w:t>This component will support the Government's efforts to strengthen the current environmental policies, regulations, and capacity to monitor, screen</w:t>
      </w:r>
      <w:r>
        <w:rPr>
          <w:rFonts w:ascii="Calibri" w:eastAsia="Times New Roman" w:hAnsi="Calibri" w:cs="Calibri"/>
        </w:rPr>
        <w:t>,</w:t>
      </w:r>
      <w:r w:rsidRPr="00547B1B">
        <w:rPr>
          <w:rFonts w:ascii="Calibri" w:eastAsia="Times New Roman" w:hAnsi="Calibri" w:cs="Calibri"/>
        </w:rPr>
        <w:t xml:space="preserve"> and evaluate environmental and health risks associated with POPs and hazardous chemicals.</w:t>
      </w:r>
    </w:p>
    <w:p w14:paraId="59E6428C" w14:textId="77777777" w:rsidR="00D70D43" w:rsidRPr="00547B1B" w:rsidRDefault="00D70D43" w:rsidP="00D70D43">
      <w:pPr>
        <w:jc w:val="both"/>
        <w:rPr>
          <w:rFonts w:ascii="Calibri" w:eastAsia="Times New Roman" w:hAnsi="Calibri" w:cs="Calibri"/>
        </w:rPr>
      </w:pPr>
    </w:p>
    <w:p w14:paraId="7193CF4C" w14:textId="77777777" w:rsidR="00D70D43" w:rsidRPr="00BF1A2F" w:rsidRDefault="00D70D43" w:rsidP="002E38A2">
      <w:pPr>
        <w:pStyle w:val="ListParagraph"/>
        <w:numPr>
          <w:ilvl w:val="0"/>
          <w:numId w:val="28"/>
        </w:numPr>
        <w:ind w:left="0" w:hanging="450"/>
        <w:jc w:val="both"/>
        <w:rPr>
          <w:rFonts w:ascii="Calibri" w:eastAsia="Times New Roman" w:hAnsi="Calibri" w:cs="Calibri"/>
        </w:rPr>
      </w:pPr>
      <w:r w:rsidRPr="00BF1A2F">
        <w:rPr>
          <w:rFonts w:ascii="Calibri" w:eastAsia="Times New Roman" w:hAnsi="Calibri" w:cs="Calibri"/>
        </w:rPr>
        <w:t>Th</w:t>
      </w:r>
      <w:r>
        <w:rPr>
          <w:rFonts w:ascii="Calibri" w:eastAsia="Times New Roman" w:hAnsi="Calibri" w:cs="Calibri"/>
        </w:rPr>
        <w:t>e</w:t>
      </w:r>
      <w:r w:rsidRPr="00BF1A2F">
        <w:rPr>
          <w:rFonts w:ascii="Calibri" w:eastAsia="Times New Roman" w:hAnsi="Calibri" w:cs="Calibri"/>
        </w:rPr>
        <w:t xml:space="preserve"> component will </w:t>
      </w:r>
      <w:r>
        <w:rPr>
          <w:rFonts w:ascii="Calibri" w:eastAsia="Times New Roman" w:hAnsi="Calibri" w:cs="Calibri"/>
        </w:rPr>
        <w:t xml:space="preserve">support </w:t>
      </w:r>
      <w:r w:rsidRPr="00BF1A2F">
        <w:rPr>
          <w:rFonts w:ascii="Calibri" w:eastAsia="Times New Roman" w:hAnsi="Calibri" w:cs="Calibri"/>
        </w:rPr>
        <w:t xml:space="preserve">the </w:t>
      </w:r>
      <w:r>
        <w:rPr>
          <w:rFonts w:ascii="Calibri" w:eastAsia="Times New Roman" w:hAnsi="Calibri" w:cs="Calibri"/>
        </w:rPr>
        <w:t xml:space="preserve">assessment of air quality </w:t>
      </w:r>
      <w:r w:rsidRPr="00BF1A2F">
        <w:rPr>
          <w:rFonts w:ascii="Calibri" w:eastAsia="Times New Roman" w:hAnsi="Calibri" w:cs="Calibri"/>
        </w:rPr>
        <w:t>in the municipalities of Bel Air</w:t>
      </w:r>
      <w:r>
        <w:rPr>
          <w:rFonts w:ascii="Calibri" w:eastAsia="Times New Roman" w:hAnsi="Calibri" w:cs="Calibri"/>
        </w:rPr>
        <w:t xml:space="preserve"> and</w:t>
      </w:r>
      <w:r w:rsidRPr="00BF1A2F">
        <w:rPr>
          <w:rFonts w:ascii="Calibri" w:eastAsia="Times New Roman" w:hAnsi="Calibri" w:cs="Calibri"/>
        </w:rPr>
        <w:t xml:space="preserve"> </w:t>
      </w:r>
      <w:proofErr w:type="spellStart"/>
      <w:r w:rsidRPr="00BF1A2F">
        <w:rPr>
          <w:rFonts w:ascii="Calibri" w:eastAsia="Times New Roman" w:hAnsi="Calibri" w:cs="Calibri"/>
        </w:rPr>
        <w:t>Dalifort</w:t>
      </w:r>
      <w:proofErr w:type="spellEnd"/>
      <w:r>
        <w:rPr>
          <w:rFonts w:ascii="Calibri" w:eastAsia="Times New Roman" w:hAnsi="Calibri" w:cs="Calibri"/>
        </w:rPr>
        <w:t xml:space="preserve"> (</w:t>
      </w:r>
      <w:r w:rsidRPr="00BF1A2F">
        <w:rPr>
          <w:rFonts w:ascii="Calibri" w:eastAsia="Times New Roman" w:hAnsi="Calibri" w:cs="Calibri"/>
        </w:rPr>
        <w:t>and other</w:t>
      </w:r>
      <w:r>
        <w:rPr>
          <w:rFonts w:ascii="Calibri" w:eastAsia="Times New Roman" w:hAnsi="Calibri" w:cs="Calibri"/>
        </w:rPr>
        <w:t xml:space="preserve"> locations, possibly).  This </w:t>
      </w:r>
      <w:r w:rsidRPr="00BF1A2F">
        <w:rPr>
          <w:rFonts w:ascii="Calibri" w:eastAsia="Times New Roman" w:hAnsi="Calibri" w:cs="Calibri"/>
        </w:rPr>
        <w:t xml:space="preserve">will reinforce the existing system </w:t>
      </w:r>
      <w:r>
        <w:rPr>
          <w:rFonts w:ascii="Calibri" w:eastAsia="Times New Roman" w:hAnsi="Calibri" w:cs="Calibri"/>
        </w:rPr>
        <w:t>for</w:t>
      </w:r>
      <w:r w:rsidRPr="00BF1A2F">
        <w:rPr>
          <w:rFonts w:ascii="Calibri" w:eastAsia="Times New Roman" w:hAnsi="Calibri" w:cs="Calibri"/>
        </w:rPr>
        <w:t xml:space="preserve"> air quality monitoring </w:t>
      </w:r>
      <w:r>
        <w:rPr>
          <w:rFonts w:ascii="Calibri" w:eastAsia="Times New Roman" w:hAnsi="Calibri" w:cs="Calibri"/>
        </w:rPr>
        <w:t xml:space="preserve">(which does not cover POPs and UPOPs) </w:t>
      </w:r>
      <w:r w:rsidRPr="00BF1A2F">
        <w:rPr>
          <w:rFonts w:ascii="Calibri" w:eastAsia="Times New Roman" w:hAnsi="Calibri" w:cs="Calibri"/>
        </w:rPr>
        <w:t xml:space="preserve">and strengthen the assessment of </w:t>
      </w:r>
      <w:r>
        <w:rPr>
          <w:rFonts w:ascii="Calibri" w:eastAsia="Times New Roman" w:hAnsi="Calibri" w:cs="Calibri"/>
        </w:rPr>
        <w:t xml:space="preserve">the impacts of </w:t>
      </w:r>
      <w:r w:rsidRPr="00BF1A2F">
        <w:rPr>
          <w:rFonts w:ascii="Calibri" w:eastAsia="Times New Roman" w:hAnsi="Calibri" w:cs="Calibri"/>
        </w:rPr>
        <w:t xml:space="preserve">air pollution </w:t>
      </w:r>
      <w:r>
        <w:rPr>
          <w:rFonts w:ascii="Calibri" w:eastAsia="Times New Roman" w:hAnsi="Calibri" w:cs="Calibri"/>
        </w:rPr>
        <w:t xml:space="preserve">on human </w:t>
      </w:r>
      <w:r w:rsidRPr="00BF1A2F">
        <w:rPr>
          <w:rFonts w:ascii="Calibri" w:eastAsia="Times New Roman" w:hAnsi="Calibri" w:cs="Calibri"/>
        </w:rPr>
        <w:t xml:space="preserve">health </w:t>
      </w:r>
      <w:r>
        <w:rPr>
          <w:rFonts w:ascii="Calibri" w:eastAsia="Times New Roman" w:hAnsi="Calibri" w:cs="Calibri"/>
        </w:rPr>
        <w:t>(e.g., for epidemiologic studies)</w:t>
      </w:r>
      <w:r w:rsidRPr="00BF1A2F">
        <w:rPr>
          <w:rFonts w:ascii="Calibri" w:eastAsia="Times New Roman" w:hAnsi="Calibri" w:cs="Calibri"/>
        </w:rPr>
        <w:t xml:space="preserve">. </w:t>
      </w:r>
      <w:r>
        <w:rPr>
          <w:rFonts w:ascii="Calibri" w:eastAsia="Times New Roman" w:hAnsi="Calibri" w:cs="Calibri"/>
        </w:rPr>
        <w:t xml:space="preserve"> </w:t>
      </w:r>
      <w:r w:rsidRPr="00BF1A2F">
        <w:rPr>
          <w:rFonts w:ascii="Calibri" w:eastAsia="Times New Roman" w:hAnsi="Calibri" w:cs="Calibri"/>
        </w:rPr>
        <w:t xml:space="preserve">Such a monitoring </w:t>
      </w:r>
      <w:r>
        <w:rPr>
          <w:rFonts w:ascii="Calibri" w:eastAsia="Times New Roman" w:hAnsi="Calibri" w:cs="Calibri"/>
        </w:rPr>
        <w:t xml:space="preserve">(through campaigns) </w:t>
      </w:r>
      <w:r w:rsidRPr="00BF1A2F">
        <w:rPr>
          <w:rFonts w:ascii="Calibri" w:eastAsia="Times New Roman" w:hAnsi="Calibri" w:cs="Calibri"/>
        </w:rPr>
        <w:t>would include UPOPs and conventional pollutants</w:t>
      </w:r>
      <w:r>
        <w:rPr>
          <w:rFonts w:ascii="Calibri" w:eastAsia="Times New Roman" w:hAnsi="Calibri" w:cs="Calibri"/>
        </w:rPr>
        <w:t>,</w:t>
      </w:r>
      <w:r w:rsidRPr="00BF1A2F">
        <w:rPr>
          <w:rFonts w:ascii="Calibri" w:eastAsia="Times New Roman" w:hAnsi="Calibri" w:cs="Calibri"/>
        </w:rPr>
        <w:t xml:space="preserve"> which are monitored in ambient air</w:t>
      </w:r>
      <w:r>
        <w:rPr>
          <w:rFonts w:ascii="Calibri" w:eastAsia="Times New Roman" w:hAnsi="Calibri" w:cs="Calibri"/>
        </w:rPr>
        <w:t xml:space="preserve"> such as</w:t>
      </w:r>
      <w:r w:rsidRPr="00BF1A2F">
        <w:rPr>
          <w:rFonts w:ascii="Calibri" w:eastAsia="Times New Roman" w:hAnsi="Calibri" w:cs="Calibri"/>
        </w:rPr>
        <w:t xml:space="preserve"> particulate matters (PM10 and PM2.5), sulfur dioxide (SO</w:t>
      </w:r>
      <w:r w:rsidRPr="00BF1A2F">
        <w:rPr>
          <w:rFonts w:ascii="Calibri" w:eastAsia="Times New Roman" w:hAnsi="Calibri" w:cs="Calibri"/>
          <w:vertAlign w:val="subscript"/>
        </w:rPr>
        <w:t>2</w:t>
      </w:r>
      <w:r w:rsidRPr="00BF1A2F">
        <w:rPr>
          <w:rFonts w:ascii="Calibri" w:eastAsia="Times New Roman" w:hAnsi="Calibri" w:cs="Calibri"/>
        </w:rPr>
        <w:t>), nitrogen dioxide (NO</w:t>
      </w:r>
      <w:r w:rsidRPr="00BF1A2F">
        <w:rPr>
          <w:rFonts w:ascii="Calibri" w:eastAsia="Times New Roman" w:hAnsi="Calibri" w:cs="Calibri"/>
          <w:vertAlign w:val="subscript"/>
        </w:rPr>
        <w:t>2</w:t>
      </w:r>
      <w:r w:rsidRPr="00BF1A2F">
        <w:rPr>
          <w:rFonts w:ascii="Calibri" w:eastAsia="Times New Roman" w:hAnsi="Calibri" w:cs="Calibri"/>
        </w:rPr>
        <w:t>), ozone (O</w:t>
      </w:r>
      <w:r w:rsidRPr="00BF1A2F">
        <w:rPr>
          <w:rFonts w:ascii="Calibri" w:eastAsia="Times New Roman" w:hAnsi="Calibri" w:cs="Calibri"/>
          <w:vertAlign w:val="subscript"/>
        </w:rPr>
        <w:t>3</w:t>
      </w:r>
      <w:r w:rsidRPr="00BF1A2F">
        <w:rPr>
          <w:rFonts w:ascii="Calibri" w:eastAsia="Times New Roman" w:hAnsi="Calibri" w:cs="Calibri"/>
        </w:rPr>
        <w:t xml:space="preserve">) and carbon monoxide (CO). </w:t>
      </w:r>
      <w:r>
        <w:rPr>
          <w:rFonts w:ascii="Calibri" w:eastAsia="Times New Roman" w:hAnsi="Calibri" w:cs="Calibri"/>
        </w:rPr>
        <w:t xml:space="preserve"> </w:t>
      </w:r>
      <w:r w:rsidRPr="00BF1A2F">
        <w:rPr>
          <w:rFonts w:ascii="Calibri" w:eastAsia="Times New Roman" w:hAnsi="Calibri" w:cs="Calibri"/>
        </w:rPr>
        <w:t xml:space="preserve">A strategy of monitoring and an emission inventories for UPOPs will be develop in accordance with the Stockholm Convention. </w:t>
      </w:r>
      <w:r>
        <w:rPr>
          <w:rFonts w:ascii="Calibri" w:eastAsia="Times New Roman" w:hAnsi="Calibri" w:cs="Calibri"/>
        </w:rPr>
        <w:t xml:space="preserve"> </w:t>
      </w:r>
      <w:r w:rsidRPr="00BF1A2F">
        <w:rPr>
          <w:rFonts w:ascii="Calibri" w:eastAsia="Times New Roman" w:hAnsi="Calibri" w:cs="Calibri"/>
        </w:rPr>
        <w:t xml:space="preserve">As a first step, potential main industrial emitters, activities related to open-burning of waste, population concentrations, in the municipalities of Hann Bel Air and </w:t>
      </w:r>
      <w:proofErr w:type="spellStart"/>
      <w:r w:rsidRPr="00BF1A2F">
        <w:rPr>
          <w:rFonts w:ascii="Calibri" w:eastAsia="Times New Roman" w:hAnsi="Calibri" w:cs="Calibri"/>
        </w:rPr>
        <w:t>Dalifort</w:t>
      </w:r>
      <w:proofErr w:type="spellEnd"/>
      <w:r w:rsidRPr="00BF1A2F">
        <w:rPr>
          <w:rFonts w:ascii="Calibri" w:eastAsia="Times New Roman" w:hAnsi="Calibri" w:cs="Calibri"/>
        </w:rPr>
        <w:t xml:space="preserve"> will be identified. </w:t>
      </w:r>
      <w:r>
        <w:rPr>
          <w:rFonts w:ascii="Calibri" w:eastAsia="Times New Roman" w:hAnsi="Calibri" w:cs="Calibri"/>
        </w:rPr>
        <w:t xml:space="preserve"> </w:t>
      </w:r>
      <w:r w:rsidRPr="00BF1A2F">
        <w:rPr>
          <w:rFonts w:ascii="Calibri" w:eastAsia="Times New Roman" w:hAnsi="Calibri" w:cs="Calibri"/>
        </w:rPr>
        <w:t>An additional reference background site will also be determined. through a baseline characterization.</w:t>
      </w:r>
    </w:p>
    <w:p w14:paraId="4E8479A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The component will assist the development of a strategy to promote the reduction of emissions and exposure to harmful chemicals and hazardous waste.  Such a strategy would include gathering health data, training health-care workers</w:t>
      </w:r>
      <w:r>
        <w:rPr>
          <w:rFonts w:ascii="Calibri" w:eastAsia="Times New Roman" w:hAnsi="Calibri" w:cs="Calibri"/>
        </w:rPr>
        <w:t>,</w:t>
      </w:r>
      <w:r w:rsidRPr="00547B1B">
        <w:rPr>
          <w:rFonts w:ascii="Calibri" w:eastAsia="Times New Roman" w:hAnsi="Calibri" w:cs="Calibri"/>
        </w:rPr>
        <w:t xml:space="preserve"> and awareness-raising through health facilities. It will include dissemination of information to different actors and affected communities.</w:t>
      </w:r>
      <w:r>
        <w:rPr>
          <w:rFonts w:ascii="Calibri" w:eastAsia="Times New Roman" w:hAnsi="Calibri" w:cs="Calibri"/>
        </w:rPr>
        <w:t xml:space="preserve"> </w:t>
      </w:r>
      <w:r w:rsidRPr="00547B1B">
        <w:rPr>
          <w:rFonts w:ascii="Calibri" w:eastAsia="Times New Roman" w:hAnsi="Calibri" w:cs="Calibri"/>
        </w:rPr>
        <w:t xml:space="preserve"> Attention will be taken to prevent the </w:t>
      </w:r>
      <w:r w:rsidRPr="00547B1B">
        <w:rPr>
          <w:rFonts w:ascii="Calibri" w:eastAsia="Times New Roman" w:hAnsi="Calibri" w:cs="Calibri"/>
        </w:rPr>
        <w:lastRenderedPageBreak/>
        <w:t xml:space="preserve">exposure to harmful chemicals of vulnerable populations, particularly children and women of child-bearing age or pregnant. </w:t>
      </w:r>
    </w:p>
    <w:p w14:paraId="4B3C4DB1" w14:textId="77777777" w:rsidR="00D70D43" w:rsidRPr="00547B1B" w:rsidRDefault="00D70D43" w:rsidP="00D70D43">
      <w:pPr>
        <w:jc w:val="both"/>
        <w:rPr>
          <w:rFonts w:ascii="Calibri" w:eastAsia="Times New Roman" w:hAnsi="Calibri" w:cs="Calibri"/>
        </w:rPr>
      </w:pPr>
    </w:p>
    <w:p w14:paraId="637D5E75"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The </w:t>
      </w:r>
      <w:r>
        <w:rPr>
          <w:rFonts w:ascii="Calibri" w:eastAsia="Times New Roman" w:hAnsi="Calibri" w:cs="Calibri"/>
        </w:rPr>
        <w:t>P</w:t>
      </w:r>
      <w:r w:rsidRPr="00547B1B">
        <w:rPr>
          <w:rFonts w:ascii="Calibri" w:eastAsia="Times New Roman" w:hAnsi="Calibri" w:cs="Calibri"/>
        </w:rPr>
        <w:t>roject will develop guidelines and checklists to be easily accessible and understood by different actors; implement demonstration programs for reduction at source; and introduce new technologies to manage certain categories of waste including POPs.</w:t>
      </w:r>
    </w:p>
    <w:p w14:paraId="5B9DA291" w14:textId="77777777" w:rsidR="00D70D43" w:rsidRPr="00547B1B" w:rsidRDefault="00D70D43" w:rsidP="00D70D43">
      <w:pPr>
        <w:jc w:val="both"/>
        <w:rPr>
          <w:rFonts w:ascii="Calibri" w:eastAsia="Times New Roman" w:hAnsi="Calibri" w:cs="Calibri"/>
        </w:rPr>
      </w:pPr>
    </w:p>
    <w:p w14:paraId="49727C60"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This component will also support analysis and develop methodology to (i) reduce, in an economic and socially acceptable manner, the impact of chemical pollution from unregulated landfills and (ii) support the development of communication tools to raise awareness about the health costs and benefits of pollution management, including community outreach to increase public understanding and visibility of the scale and environmental health impacts. It will serve to accelerate the appropriation of revised policy and to implement good waste management practices in the municipalities. </w:t>
      </w:r>
    </w:p>
    <w:p w14:paraId="481A57B3" w14:textId="77777777" w:rsidR="00D70D43" w:rsidRPr="00547B1B" w:rsidRDefault="00D70D43" w:rsidP="00D70D43">
      <w:pPr>
        <w:jc w:val="both"/>
        <w:rPr>
          <w:rFonts w:ascii="Calibri" w:eastAsia="Times New Roman" w:hAnsi="Calibri" w:cs="Calibri"/>
        </w:rPr>
      </w:pPr>
    </w:p>
    <w:p w14:paraId="35A34C4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The project intervention will be well monitored and reported to ensure a successful implementation; project activities will complement those carried out under the PROMOGED, which is setting up a committee to reform the solid waste </w:t>
      </w:r>
      <w:proofErr w:type="gramStart"/>
      <w:r w:rsidRPr="00547B1B">
        <w:rPr>
          <w:rFonts w:ascii="Calibri" w:eastAsia="Times New Roman" w:hAnsi="Calibri" w:cs="Calibri"/>
        </w:rPr>
        <w:t>sector as a whole</w:t>
      </w:r>
      <w:proofErr w:type="gramEnd"/>
      <w:r w:rsidRPr="00547B1B">
        <w:rPr>
          <w:rFonts w:ascii="Calibri" w:eastAsia="Times New Roman" w:hAnsi="Calibri" w:cs="Calibri"/>
        </w:rPr>
        <w:t xml:space="preserve">.  Lessons learned will be disseminated and replicated at national level and regionally via the regional economic communities (REC) leadership.  Given that once a community legislation comes into force, it overrides all national laws dealing with the same subject matter and subsequent national legislation must be consistent with and made in the light of the community legislation. </w:t>
      </w:r>
    </w:p>
    <w:p w14:paraId="54B279B0" w14:textId="77777777" w:rsidR="00D70D43" w:rsidRPr="00547B1B" w:rsidRDefault="00D70D43" w:rsidP="00D70D43">
      <w:pPr>
        <w:jc w:val="both"/>
        <w:rPr>
          <w:rFonts w:ascii="Calibri" w:eastAsia="Times New Roman" w:hAnsi="Calibri" w:cs="Calibri"/>
        </w:rPr>
      </w:pPr>
    </w:p>
    <w:p w14:paraId="5DF347BA"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i/>
        </w:rPr>
        <w:t>Expected component outputs:</w:t>
      </w:r>
    </w:p>
    <w:p w14:paraId="59138EE6"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Assessment and updating of the legal and institutional frameworks, as well as guidelines</w:t>
      </w:r>
    </w:p>
    <w:p w14:paraId="5E5DEFB6"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An update of the national strategy and implementation plan for promoting the reduction of emissions and releases of, and exposure to, POPs and priority chemicals developed</w:t>
      </w:r>
    </w:p>
    <w:p w14:paraId="54C1F102"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 methodology for screening and evaluating health and environment risks associated with POPs releases and other hazardous chemicals developed</w:t>
      </w:r>
    </w:p>
    <w:p w14:paraId="2F47B60A" w14:textId="77777777" w:rsidR="00D70D43" w:rsidRPr="00547B1B" w:rsidRDefault="00D70D43" w:rsidP="002E38A2">
      <w:pPr>
        <w:numPr>
          <w:ilvl w:val="0"/>
          <w:numId w:val="26"/>
        </w:numPr>
        <w:ind w:left="450"/>
        <w:contextualSpacing/>
        <w:jc w:val="both"/>
        <w:rPr>
          <w:rFonts w:ascii="Calibri" w:eastAsia="Times New Roman" w:hAnsi="Calibri" w:cs="Calibri"/>
        </w:rPr>
      </w:pPr>
      <w:r w:rsidRPr="00547B1B">
        <w:rPr>
          <w:rFonts w:ascii="Calibri" w:eastAsia="Times New Roman" w:hAnsi="Calibri" w:cs="Calibri"/>
        </w:rPr>
        <w:t>A strategy and guidelines for screening and evaluating health and environment risks developed</w:t>
      </w:r>
    </w:p>
    <w:p w14:paraId="6D1F6F14" w14:textId="77777777" w:rsidR="00D70D43" w:rsidRPr="00547B1B" w:rsidRDefault="00D70D43" w:rsidP="00D70D43">
      <w:pPr>
        <w:jc w:val="both"/>
        <w:rPr>
          <w:rFonts w:ascii="Calibri" w:eastAsia="Times New Roman" w:hAnsi="Calibri" w:cs="Calibri"/>
        </w:rPr>
      </w:pPr>
    </w:p>
    <w:p w14:paraId="69F53D1C"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b/>
        </w:rPr>
        <w:t xml:space="preserve">Component 3: Demonstrating application of technological tools (US$ 2.7 million GEF). </w:t>
      </w:r>
      <w:r w:rsidRPr="00547B1B">
        <w:rPr>
          <w:rFonts w:ascii="Calibri" w:eastAsia="Times New Roman" w:hAnsi="Calibri" w:cs="Calibri"/>
        </w:rPr>
        <w:t xml:space="preserve">The main objective of this component is to support and implement actions to set up a system aiming at reducing environmental health risks from the release of UPOPs and other toxic chemicals through environmentally-sound management of urban waste in Hann Belk Air, </w:t>
      </w:r>
      <w:proofErr w:type="spellStart"/>
      <w:r w:rsidRPr="00547B1B">
        <w:rPr>
          <w:rFonts w:ascii="Calibri" w:eastAsia="Times New Roman" w:hAnsi="Calibri" w:cs="Calibri"/>
        </w:rPr>
        <w:t>Dalifort</w:t>
      </w:r>
      <w:proofErr w:type="spellEnd"/>
      <w:r w:rsidRPr="00547B1B">
        <w:rPr>
          <w:rFonts w:ascii="Calibri" w:eastAsia="Times New Roman" w:hAnsi="Calibri" w:cs="Calibri"/>
        </w:rPr>
        <w:t xml:space="preserve">, and potentially other municipalities in Dakar, which can later be replicated and scaled-up nationally, including through the PROMOGED, and regionally.  Under this component the Project will support activities to reduce UPOPs by better preventing UPOPs precursors such as plastic wastes mixed with municipal and organic wastes that are subject to open burning and consequently cause higher emissions of UPOPs.  Unregulated combustion will be also better controlled by removing uncontrolled dump sites through separation, segregation, recycling, stocking, collecting and transporting municipal and hazardous waste which should be the primary responsibility of </w:t>
      </w:r>
      <w:r w:rsidRPr="00547B1B">
        <w:rPr>
          <w:rFonts w:ascii="Calibri" w:eastAsia="Times New Roman" w:hAnsi="Calibri" w:cs="Calibri"/>
        </w:rPr>
        <w:lastRenderedPageBreak/>
        <w:t xml:space="preserve">municipalities.  In this regard, the Project will identify relevant partners such as private companies specialized in waste management, NGOs, etc., and develop a business model that would ensure the capitalization of waste management experiences and sustainability of the accumulated knowledge. </w:t>
      </w:r>
    </w:p>
    <w:p w14:paraId="00365C47" w14:textId="77777777" w:rsidR="00D70D43" w:rsidRPr="00547B1B" w:rsidRDefault="00D70D43" w:rsidP="00D70D43">
      <w:pPr>
        <w:jc w:val="both"/>
        <w:rPr>
          <w:rFonts w:ascii="Calibri" w:eastAsia="Times New Roman" w:hAnsi="Calibri" w:cs="Calibri"/>
        </w:rPr>
      </w:pPr>
    </w:p>
    <w:p w14:paraId="407EC1FF"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First, the beneficiary municipalities, together with the relevant authorities, will mobilize the communities and the necessary logistical resources to eradicate the recurrent and illegal waste dump sites in their areas in order to permanently eliminate the sources of pollution.  This will lead to citizen engagement and have the advantage of raising people's awareness of their responsibilities in terms of preservation of their living environment and prevention of environmental health risks.</w:t>
      </w:r>
    </w:p>
    <w:p w14:paraId="59E521F0" w14:textId="77777777" w:rsidR="00D70D43" w:rsidRPr="00547B1B" w:rsidRDefault="00D70D43" w:rsidP="00D70D43">
      <w:pPr>
        <w:jc w:val="both"/>
        <w:rPr>
          <w:rFonts w:ascii="Calibri" w:eastAsia="Times New Roman" w:hAnsi="Calibri" w:cs="Calibri"/>
        </w:rPr>
      </w:pPr>
    </w:p>
    <w:p w14:paraId="4653D54B"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Concurrently with improving the sanitary status, strategies to ensure long-term sustainability will be initiated by setting up a system adapted to local realities and accessible to the population. To this end, a comprehensive urban solid waste management system will be implemented by: (i) promoting the regulatory framework around the Community Based Organizations (CBOs), under the responsibility of local authorities or sanitary committees; (ii) sorting, reusing, and recycling waste by communities, integrating social innovations and a circular and inclusive economy; (iii) professionalizing street cleaning along main thoroughfares; (iv) neighborhood cleaning through community-based activities and activities with high labor intensity (HIMO) under the responsibility of the local authorities; (v) the construction of standardized Regrouping Points (PRN) ("Points de </w:t>
      </w:r>
      <w:proofErr w:type="spellStart"/>
      <w:r w:rsidRPr="00547B1B">
        <w:rPr>
          <w:rFonts w:ascii="Calibri" w:eastAsia="Times New Roman" w:hAnsi="Calibri" w:cs="Calibri"/>
        </w:rPr>
        <w:t>Regroupement</w:t>
      </w:r>
      <w:proofErr w:type="spellEnd"/>
      <w:r w:rsidRPr="00547B1B">
        <w:rPr>
          <w:rFonts w:ascii="Calibri" w:eastAsia="Times New Roman" w:hAnsi="Calibri" w:cs="Calibri"/>
        </w:rPr>
        <w:t xml:space="preserve"> </w:t>
      </w:r>
      <w:proofErr w:type="spellStart"/>
      <w:r w:rsidRPr="00547B1B">
        <w:rPr>
          <w:rFonts w:ascii="Calibri" w:eastAsia="Times New Roman" w:hAnsi="Calibri" w:cs="Calibri"/>
        </w:rPr>
        <w:t>normalisé</w:t>
      </w:r>
      <w:proofErr w:type="spellEnd"/>
      <w:r w:rsidRPr="00547B1B">
        <w:rPr>
          <w:rFonts w:ascii="Calibri" w:eastAsia="Times New Roman" w:hAnsi="Calibri" w:cs="Calibri"/>
        </w:rPr>
        <w:t xml:space="preserve"> - PRN)") incorporating screening, sorting, marketing and waste recycling to promote employment-generating and income-generating activities; (vi) pre-collection organized around the PRNs through the local authorities ; and (vii) waste collection from households, markets and industrial activities and evacuation to the appropriate municipal waste dumpsite in Dakar. </w:t>
      </w:r>
    </w:p>
    <w:p w14:paraId="192A87AC" w14:textId="77777777" w:rsidR="00D70D43" w:rsidRPr="00547B1B" w:rsidRDefault="00D70D43" w:rsidP="00D70D43">
      <w:pPr>
        <w:jc w:val="both"/>
        <w:rPr>
          <w:rFonts w:ascii="Calibri" w:eastAsia="Times New Roman" w:hAnsi="Calibri" w:cs="Calibri"/>
        </w:rPr>
      </w:pPr>
    </w:p>
    <w:p w14:paraId="0FA39AC4" w14:textId="77777777" w:rsidR="00D70D43" w:rsidRPr="00547B1B"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 In addition to corrective actions and the implementation of a waste management system, measures will be taken to secure and enhance public spaces.  To this end, public gardens, lakes, retention ponds and any open space will be developed as places for recreational, economic, tourist, sports or other activities.  The objective is to develop them in a sustainable way and to guard against the proliferation of waste dumps and open burning. </w:t>
      </w:r>
    </w:p>
    <w:p w14:paraId="12751D69" w14:textId="77777777" w:rsidR="00D70D43" w:rsidRPr="00547B1B" w:rsidRDefault="00D70D43" w:rsidP="00D70D43">
      <w:pPr>
        <w:jc w:val="both"/>
        <w:rPr>
          <w:rFonts w:ascii="Calibri" w:eastAsia="Times New Roman" w:hAnsi="Calibri" w:cs="Calibri"/>
        </w:rPr>
      </w:pPr>
    </w:p>
    <w:p w14:paraId="31F5EE35" w14:textId="77777777" w:rsidR="00D70D43" w:rsidRDefault="00D70D43" w:rsidP="002E38A2">
      <w:pPr>
        <w:numPr>
          <w:ilvl w:val="0"/>
          <w:numId w:val="28"/>
        </w:numPr>
        <w:ind w:left="0" w:hanging="450"/>
        <w:contextualSpacing/>
        <w:jc w:val="both"/>
        <w:rPr>
          <w:rFonts w:ascii="Calibri" w:eastAsia="Times New Roman" w:hAnsi="Calibri" w:cs="Calibri"/>
        </w:rPr>
      </w:pPr>
      <w:r w:rsidRPr="00547B1B">
        <w:rPr>
          <w:rFonts w:ascii="Calibri" w:eastAsia="Times New Roman" w:hAnsi="Calibri" w:cs="Calibri"/>
        </w:rPr>
        <w:t xml:space="preserve">A waste management unit will be set up in the participating municipalities to coordinate waste management efforts.  With respect to the Guidelines on best available techniques and provisional guidance on best environmental practices relevant to Article 5 and Annex C of the Stockholm Convention on Persistent Organic Pollutants, appropriate actions will be developed to manage municipal solid waste and hazardous waste in a sound manner, to minimize the releases of UPOPs and greenhouses gases.  The reduction of the release of UPOPS can be expected to be very significant under this component.  </w:t>
      </w:r>
    </w:p>
    <w:p w14:paraId="42C02F69" w14:textId="77777777" w:rsidR="00D70D43" w:rsidRDefault="00D70D43" w:rsidP="00D70D43">
      <w:pPr>
        <w:pStyle w:val="ListParagraph"/>
        <w:rPr>
          <w:rFonts w:ascii="Calibri" w:eastAsia="Times New Roman" w:hAnsi="Calibri" w:cs="Calibri"/>
          <w:i/>
        </w:rPr>
      </w:pPr>
    </w:p>
    <w:p w14:paraId="61E7A5E9" w14:textId="77777777" w:rsidR="00D70D43" w:rsidRPr="00CD647D" w:rsidRDefault="00D70D43" w:rsidP="002E38A2">
      <w:pPr>
        <w:numPr>
          <w:ilvl w:val="0"/>
          <w:numId w:val="28"/>
        </w:numPr>
        <w:ind w:left="0" w:hanging="450"/>
        <w:contextualSpacing/>
        <w:jc w:val="both"/>
        <w:rPr>
          <w:rFonts w:ascii="Calibri" w:eastAsia="Times New Roman" w:hAnsi="Calibri" w:cs="Calibri"/>
        </w:rPr>
      </w:pPr>
      <w:r w:rsidRPr="00CD647D">
        <w:rPr>
          <w:rFonts w:ascii="Calibri" w:eastAsia="Times New Roman" w:hAnsi="Calibri" w:cs="Calibri"/>
          <w:i/>
        </w:rPr>
        <w:t>Expected component outputs:</w:t>
      </w:r>
    </w:p>
    <w:p w14:paraId="0ED4C286"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lastRenderedPageBreak/>
        <w:t>Mobilization of municipalities and communities to eradicate illegal dumpsites; open burning; and the generation of UPOPs;</w:t>
      </w:r>
    </w:p>
    <w:p w14:paraId="13375138"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Support to municipalities for separation, segregation, &amp; recycling of municipal and hazardous waste.</w:t>
      </w:r>
    </w:p>
    <w:p w14:paraId="4C339035"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Establishment of environmentally sound waste management system;</w:t>
      </w:r>
    </w:p>
    <w:p w14:paraId="71302A4D"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 xml:space="preserve">creation of revenue-generating activities; </w:t>
      </w:r>
    </w:p>
    <w:p w14:paraId="5FD3BF23"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Functional layout of public spaces;</w:t>
      </w:r>
    </w:p>
    <w:p w14:paraId="59588299"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 xml:space="preserve">Waste management unit set up in the participating municipalities to coordinate waste management efforts. </w:t>
      </w:r>
    </w:p>
    <w:p w14:paraId="3396FC1A" w14:textId="77777777" w:rsidR="00D70D43" w:rsidRPr="008058E8" w:rsidRDefault="00D70D43" w:rsidP="002E38A2">
      <w:pPr>
        <w:pStyle w:val="ListParagraph"/>
        <w:numPr>
          <w:ilvl w:val="0"/>
          <w:numId w:val="27"/>
        </w:numPr>
        <w:ind w:left="450"/>
        <w:jc w:val="both"/>
        <w:rPr>
          <w:rFonts w:ascii="Calibri" w:eastAsia="Times New Roman" w:hAnsi="Calibri" w:cs="Calibri"/>
        </w:rPr>
      </w:pPr>
      <w:r w:rsidRPr="008058E8">
        <w:rPr>
          <w:rFonts w:ascii="Calibri" w:eastAsia="Times New Roman" w:hAnsi="Calibri" w:cs="Calibri"/>
        </w:rPr>
        <w:t>Identify relevant partners, private companies specialized in waste management, NGOs to develop a business model for waste management.</w:t>
      </w:r>
    </w:p>
    <w:p w14:paraId="42524717" w14:textId="77777777" w:rsidR="00D70D43" w:rsidRPr="00547B1B" w:rsidRDefault="00D70D43" w:rsidP="00D70D43">
      <w:pPr>
        <w:jc w:val="both"/>
        <w:rPr>
          <w:rFonts w:ascii="Calibri" w:eastAsia="Times New Roman" w:hAnsi="Calibri" w:cs="Calibri"/>
        </w:rPr>
      </w:pPr>
    </w:p>
    <w:p w14:paraId="697E086E" w14:textId="77777777" w:rsidR="00D70D43" w:rsidRPr="00BA0E9B" w:rsidRDefault="00D70D43" w:rsidP="00D70D43">
      <w:pPr>
        <w:jc w:val="both"/>
        <w:rPr>
          <w:rFonts w:ascii="Calibri" w:eastAsia="Times New Roman" w:hAnsi="Calibri" w:cs="Calibri"/>
          <w:i/>
        </w:rPr>
      </w:pPr>
      <w:r w:rsidRPr="00BA0E9B">
        <w:rPr>
          <w:rFonts w:ascii="Calibri" w:eastAsia="Times New Roman" w:hAnsi="Calibri" w:cs="Calibri"/>
          <w:i/>
        </w:rPr>
        <w:t>Subcomponent 3.1: Institutional Support</w:t>
      </w:r>
    </w:p>
    <w:p w14:paraId="23166451" w14:textId="77777777" w:rsidR="00D70D43" w:rsidRPr="00EB1219" w:rsidRDefault="00D70D43" w:rsidP="002E38A2">
      <w:pPr>
        <w:pStyle w:val="ListParagraph"/>
        <w:numPr>
          <w:ilvl w:val="0"/>
          <w:numId w:val="28"/>
        </w:numPr>
        <w:autoSpaceDE w:val="0"/>
        <w:autoSpaceDN w:val="0"/>
        <w:adjustRightInd w:val="0"/>
        <w:spacing w:after="0" w:line="240" w:lineRule="auto"/>
        <w:ind w:left="0" w:hanging="450"/>
        <w:jc w:val="both"/>
        <w:rPr>
          <w:rFonts w:ascii="Calibri" w:eastAsia="Times New Roman" w:hAnsi="Calibri" w:cs="Calibri"/>
        </w:rPr>
      </w:pPr>
      <w:r w:rsidRPr="00EB1219">
        <w:rPr>
          <w:rFonts w:ascii="Calibri" w:eastAsia="Times New Roman" w:hAnsi="Calibri" w:cs="Calibri"/>
        </w:rPr>
        <w:t xml:space="preserve">The purpose of institutional support is to consolidate the managerial, technical, logistical, and financial skills of stakeholders responsible for implementing solid waste management, including elected representatives, technicians, CBOs, the private sector, and civil society. The actions of the municipalities will be: (i) implementing a training program on waste management professionalism; (ii) acquisition of tools, equipment, etc.; (iii) restructuring of relevant services and the recruitment of adequate personnel; (iv) supporting the community to develop initiatives for solid waste management by strengthening the financial, institutional, organizational, and technical capacities of populations and civil society organizations; (v) creating wealth through self-employment and business creation; and (vi) stimulating citizen participation.  </w:t>
      </w:r>
    </w:p>
    <w:p w14:paraId="2D1330AC" w14:textId="77777777" w:rsidR="00D70D43" w:rsidRDefault="00D70D43" w:rsidP="00D70D43">
      <w:pPr>
        <w:jc w:val="both"/>
        <w:rPr>
          <w:rFonts w:ascii="Calibri" w:eastAsia="Times New Roman" w:hAnsi="Calibri" w:cs="Calibri"/>
        </w:rPr>
      </w:pPr>
    </w:p>
    <w:p w14:paraId="543F07A1"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objective of this sub-component is to improve the management capacity and ability of communities to provide waste management as a public service. It includes the following activities: (i) establishment of a management framework; (ii) training and capacity building; (iii) promotion of citizen engagement; (iv) support for community actors; (v) communication and social marketing; and (vi) social project management. </w:t>
      </w:r>
    </w:p>
    <w:p w14:paraId="1114A0D4" w14:textId="77777777" w:rsidR="00D70D43" w:rsidRPr="00547B1B" w:rsidRDefault="00D70D43" w:rsidP="00D70D43">
      <w:pPr>
        <w:jc w:val="both"/>
        <w:rPr>
          <w:rFonts w:ascii="Calibri" w:eastAsia="Times New Roman" w:hAnsi="Calibri" w:cs="Calibri"/>
        </w:rPr>
      </w:pPr>
    </w:p>
    <w:p w14:paraId="5F6AA9B9"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 xml:space="preserve">Activity 3.1.1: Training and capacity building </w:t>
      </w:r>
    </w:p>
    <w:p w14:paraId="19FE0DB4"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project will fund the implementation of a training program on improving professionalism in the waste management industry. In addition, given the lack of capacity, the project will support local authorities and community organizations in providing management tools and equipment. The sustainable management of municipal solid waste requires a range of skills to manage various aspects of the waste industry. This includes nature and quantities of waste, infrastructure requirements, waste handling techniques and technologies, environmental aspects, socio-cultural conditions, land ownership, planning, and financing.  The diversity of sectors and skills involved requires diverse expertise and training. These skills are largely lacking in municipalities, the entities responsible for waste management. Capacity building is an essential element in strengthening waste management. It should target: (i) households to establish good practices (sorting, separation, storage, etc.); (ii) local authorities in terms of planning, operation and monitoring; (iii) all stakeholders (mostly still informal) involved in recycling in terms of prevention and safety </w:t>
      </w:r>
      <w:r w:rsidRPr="00EB1219">
        <w:rPr>
          <w:rFonts w:ascii="Calibri" w:eastAsia="Times New Roman" w:hAnsi="Calibri" w:cs="Calibri"/>
        </w:rPr>
        <w:lastRenderedPageBreak/>
        <w:t xml:space="preserve">measures, as well as efficient recovery practices; (iv) workers / operators on good practices in pre-collection, collection, health, and safety; and (v) a consulting firm will be recruited to design and implement a training program for local stakeholders and to provide management tools. </w:t>
      </w:r>
    </w:p>
    <w:p w14:paraId="426070A8" w14:textId="77777777" w:rsidR="00D70D43" w:rsidRPr="00547B1B" w:rsidRDefault="00D70D43" w:rsidP="00D70D43">
      <w:pPr>
        <w:jc w:val="both"/>
        <w:rPr>
          <w:rFonts w:ascii="Calibri" w:eastAsia="Times New Roman" w:hAnsi="Calibri" w:cs="Calibri"/>
        </w:rPr>
      </w:pPr>
    </w:p>
    <w:p w14:paraId="08CEB4B3"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3.1.2: Promoting Citizen Engagement</w:t>
      </w:r>
    </w:p>
    <w:p w14:paraId="7CF6FE6E"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In view of low citizen engagement with solid waste management, a </w:t>
      </w:r>
      <w:r w:rsidRPr="00EB1219">
        <w:rPr>
          <w:rFonts w:ascii="Calibri" w:eastAsia="Times New Roman" w:hAnsi="Calibri" w:cs="Calibri"/>
          <w:b/>
          <w:i/>
        </w:rPr>
        <w:t>social marketing strategy</w:t>
      </w:r>
      <w:r w:rsidRPr="00EB1219">
        <w:rPr>
          <w:rFonts w:ascii="Calibri" w:eastAsia="Times New Roman" w:hAnsi="Calibri" w:cs="Calibri"/>
        </w:rPr>
        <w:t xml:space="preserve"> to promote ecologically responsible attitudes is envisaged. Integrating good practices in the living environment into existing school curricula is also planned. The aim is to make children aware of the problem of waste and to teach them the basics of a sustainable management, as they can be effective agents for behavior change. </w:t>
      </w:r>
    </w:p>
    <w:p w14:paraId="2A8BC623" w14:textId="77777777" w:rsidR="00D70D43" w:rsidRDefault="00D70D43" w:rsidP="00D70D43">
      <w:pPr>
        <w:jc w:val="both"/>
        <w:rPr>
          <w:rFonts w:ascii="Calibri" w:eastAsia="Times New Roman" w:hAnsi="Calibri" w:cs="Calibri"/>
        </w:rPr>
      </w:pPr>
    </w:p>
    <w:p w14:paraId="4F3CF013"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Beyond raising awareness, a </w:t>
      </w:r>
      <w:r w:rsidRPr="00EB1219">
        <w:rPr>
          <w:rFonts w:ascii="Calibri" w:eastAsia="Times New Roman" w:hAnsi="Calibri" w:cs="Calibri"/>
          <w:b/>
          <w:i/>
        </w:rPr>
        <w:t>municipal hygiene entity</w:t>
      </w:r>
      <w:r w:rsidRPr="00EB1219">
        <w:rPr>
          <w:rFonts w:ascii="Calibri" w:eastAsia="Times New Roman" w:hAnsi="Calibri" w:cs="Calibri"/>
        </w:rPr>
        <w:t xml:space="preserve"> will be created to ensure the adequate application of the hygiene code. The noticeable absence of the hygiene police within neighborhoods has led to the spread of bad practices. The reinstatement of the health and hygiene police from a combination of municipal police and revitalized hygiene services would allow monitoring and surveillance as part of the behavior change aspect. Failure to implement hygiene management needs to be corrected through policies aimed at changing behavior, particularly at the level of households and different production sites. The promotion of good practices can result from large scale awareness activities, including by developing eco responsible behaviors at household, school, and workplace levels. A </w:t>
      </w:r>
      <w:r w:rsidRPr="00EB1219">
        <w:rPr>
          <w:rFonts w:ascii="Calibri" w:eastAsia="Times New Roman" w:hAnsi="Calibri" w:cs="Calibri"/>
          <w:b/>
          <w:i/>
          <w:iCs/>
        </w:rPr>
        <w:t>hygiene charter</w:t>
      </w:r>
      <w:r w:rsidRPr="00EB1219">
        <w:rPr>
          <w:rFonts w:ascii="Calibri" w:eastAsia="Times New Roman" w:hAnsi="Calibri" w:cs="Calibri"/>
        </w:rPr>
        <w:t xml:space="preserve"> agreed to by stakeholders would be a first step to prohibit unregulated dumping and littering, and would specify waste collection frequencies, permissible household waste, and cleanliness requirements of public premises and institutions. The cost recovery of certain waste products would be a good entry point in the charter.</w:t>
      </w:r>
    </w:p>
    <w:p w14:paraId="6FD2EE0E" w14:textId="77777777" w:rsidR="00D70D43" w:rsidRPr="00547B1B" w:rsidRDefault="00D70D43" w:rsidP="00D70D43">
      <w:pPr>
        <w:jc w:val="both"/>
        <w:rPr>
          <w:rFonts w:ascii="Calibri" w:eastAsia="Times New Roman" w:hAnsi="Calibri" w:cs="Calibri"/>
        </w:rPr>
      </w:pPr>
    </w:p>
    <w:p w14:paraId="0A03712C"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3.1.3: Establishment of a management framework</w:t>
      </w:r>
    </w:p>
    <w:p w14:paraId="41194F9E"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MS Mincho" w:hAnsi="Calibri" w:cs="Calibri"/>
        </w:rPr>
      </w:pPr>
      <w:r w:rsidRPr="00EB1219">
        <w:rPr>
          <w:rFonts w:ascii="Calibri" w:eastAsia="Times New Roman" w:hAnsi="Calibri" w:cs="Calibri"/>
        </w:rPr>
        <w:t xml:space="preserve">The project will support the restructuring of municipal services dedicated to solid waste management and the implementation of appropriate management tools. </w:t>
      </w:r>
      <w:r w:rsidRPr="00EB1219">
        <w:rPr>
          <w:rFonts w:ascii="Calibri" w:eastAsia="MS Mincho" w:hAnsi="Calibri" w:cs="Calibri"/>
        </w:rPr>
        <w:t>For each municipality, a Local Technical Committee (LTC) would be set up to mobilize all stakeholders. The aim of the LTC is to provide a collegial framework for implementing and monitoring the various sanitation activities at the municipal level. As such, it is a forum for consultation and proposals. Its mission is to organize, examine issues related to public sanitation, to lead, with support from experts, the different phases of the planning process, and to assist local authorities in implementing and monitoring action plans. This technical body is established to validate different proposals on the reorganization of the waste management system. The CTL will bring together information, ideas, and expertise from its members who represent groups and organizations working together to address public sanitation issues.</w:t>
      </w:r>
    </w:p>
    <w:p w14:paraId="031047CE" w14:textId="77777777" w:rsidR="00D70D43" w:rsidRPr="00547B1B" w:rsidRDefault="00D70D43" w:rsidP="00D70D43">
      <w:pPr>
        <w:spacing w:line="276" w:lineRule="auto"/>
        <w:jc w:val="both"/>
        <w:rPr>
          <w:rFonts w:ascii="Calibri" w:eastAsia="MS Mincho" w:hAnsi="Calibri" w:cs="Calibri"/>
        </w:rPr>
      </w:pPr>
    </w:p>
    <w:p w14:paraId="229F506D"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MS Mincho" w:hAnsi="Calibri" w:cs="Calibri"/>
        </w:rPr>
      </w:pPr>
      <w:r w:rsidRPr="00EB1219">
        <w:rPr>
          <w:rFonts w:ascii="Calibri" w:eastAsia="MS Mincho" w:hAnsi="Calibri" w:cs="Calibri"/>
        </w:rPr>
        <w:t xml:space="preserve">This structure of approximately fifteen members must be put in place before the launch of the project, must be formalized by decree, and have specific terms of reference. Its members would be representatives of the main municipal technical services, local elected officials, technical services (Health, Women's and Social Development Department, Urban Planning Department), the local private sector, </w:t>
      </w:r>
      <w:r w:rsidRPr="00EB1219">
        <w:rPr>
          <w:rFonts w:ascii="Calibri" w:eastAsia="MS Mincho" w:hAnsi="Calibri" w:cs="Calibri"/>
        </w:rPr>
        <w:lastRenderedPageBreak/>
        <w:t xml:space="preserve">representatives of neighborhood delegates or village chiefs, NGOs, and community groups involved in sanitation and other interested parties. </w:t>
      </w:r>
    </w:p>
    <w:p w14:paraId="54DD2DFB" w14:textId="77777777" w:rsidR="00D70D43" w:rsidRPr="00547B1B" w:rsidRDefault="00D70D43" w:rsidP="00D70D43">
      <w:pPr>
        <w:spacing w:line="264" w:lineRule="auto"/>
        <w:jc w:val="both"/>
        <w:rPr>
          <w:rFonts w:ascii="Calibri" w:eastAsia="MS Mincho" w:hAnsi="Calibri" w:cs="Calibri"/>
        </w:rPr>
      </w:pPr>
    </w:p>
    <w:p w14:paraId="4439D27F"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3.1.4: Support to community structures</w:t>
      </w:r>
    </w:p>
    <w:p w14:paraId="794D2395"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Existing individual and collective initiatives, while essential for community participation, are too unstructured to be efficient. It is therefore necessary to develop community projects integrating informal actors such as women's groups, sports and cultural associations, waste pickers, and pre-collectors. The objective is to create the necessary conditions for community participation in solid waste management, create jobs, generate wealth, and encourage investment. It is based on consultation, information sharing, and inclusive participation. Its strategy seeks to drive the gradual transformation of the informal waste sector. It is articulated around the following four levers: </w:t>
      </w:r>
    </w:p>
    <w:p w14:paraId="1F5AF5FB" w14:textId="77777777" w:rsidR="00D70D43" w:rsidRPr="005D120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rPr>
      </w:pPr>
      <w:r w:rsidRPr="005D1209">
        <w:rPr>
          <w:rFonts w:ascii="Calibri" w:eastAsia="Times New Roman" w:hAnsi="Calibri" w:cs="Calibri"/>
          <w:b/>
          <w:bCs/>
        </w:rPr>
        <w:t xml:space="preserve">The creation of an appropriate institutional and legal framework: </w:t>
      </w:r>
      <w:r w:rsidRPr="005D1209">
        <w:rPr>
          <w:rFonts w:ascii="Calibri" w:eastAsia="Times New Roman" w:hAnsi="Calibri" w:cs="Calibri"/>
          <w:bCs/>
        </w:rPr>
        <w:t xml:space="preserve">(i) </w:t>
      </w:r>
      <w:r w:rsidRPr="005D1209">
        <w:rPr>
          <w:rFonts w:ascii="Calibri" w:eastAsia="Times New Roman" w:hAnsi="Calibri" w:cs="Calibri"/>
        </w:rPr>
        <w:t xml:space="preserve">Develop specifications for micro-operators, an administrative and legal framework for community-based companies; (ii) Create a framework for dialogue and collaboration between communities and municipalities; (iii) Create a unifying framework of enterprises at community level (Unions / Cooperatives); and (iv) Improve the fee collection system from households to micro-operators (horse carts). </w:t>
      </w:r>
    </w:p>
    <w:p w14:paraId="7F9B528E" w14:textId="77777777" w:rsidR="00D70D43" w:rsidRPr="005D120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rPr>
      </w:pPr>
      <w:r w:rsidRPr="005D1209">
        <w:rPr>
          <w:rFonts w:ascii="Calibri" w:eastAsia="Times New Roman" w:hAnsi="Calibri" w:cs="Calibri"/>
          <w:b/>
          <w:bCs/>
        </w:rPr>
        <w:t xml:space="preserve">The development of value chains: </w:t>
      </w:r>
      <w:r w:rsidRPr="005D1209">
        <w:rPr>
          <w:rFonts w:ascii="Calibri" w:eastAsia="Times New Roman" w:hAnsi="Calibri" w:cs="Calibri"/>
          <w:bCs/>
        </w:rPr>
        <w:t>(i)</w:t>
      </w:r>
      <w:r w:rsidRPr="005D1209">
        <w:rPr>
          <w:rFonts w:ascii="Calibri" w:eastAsia="Times New Roman" w:hAnsi="Calibri" w:cs="Calibri"/>
          <w:b/>
          <w:bCs/>
        </w:rPr>
        <w:t xml:space="preserve"> </w:t>
      </w:r>
      <w:r w:rsidRPr="005D1209">
        <w:rPr>
          <w:rFonts w:ascii="Calibri" w:eastAsia="Times New Roman" w:hAnsi="Calibri" w:cs="Calibri"/>
        </w:rPr>
        <w:t xml:space="preserve">Formalize pre-collectors (horse carts) and make their social status more respectable; (ii) Improve working conditions and equipment at all stages; and (iii) Improve cost recovery of solid waste. </w:t>
      </w:r>
    </w:p>
    <w:p w14:paraId="04BB1085" w14:textId="77777777" w:rsidR="00D70D43" w:rsidRPr="005D120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b/>
          <w:bCs/>
        </w:rPr>
      </w:pPr>
      <w:r w:rsidRPr="005D1209">
        <w:rPr>
          <w:rFonts w:ascii="Calibri" w:eastAsia="Times New Roman" w:hAnsi="Calibri" w:cs="Calibri"/>
          <w:b/>
          <w:bCs/>
        </w:rPr>
        <w:t xml:space="preserve">Access to financing: </w:t>
      </w:r>
      <w:r w:rsidRPr="005D1209">
        <w:rPr>
          <w:rFonts w:ascii="Calibri" w:eastAsia="Times New Roman" w:hAnsi="Calibri" w:cs="Calibri"/>
          <w:bCs/>
        </w:rPr>
        <w:t xml:space="preserve">(i) </w:t>
      </w:r>
      <w:r w:rsidRPr="005D1209">
        <w:rPr>
          <w:rFonts w:ascii="Calibri" w:eastAsia="Times New Roman" w:hAnsi="Calibri" w:cs="Calibri"/>
        </w:rPr>
        <w:t xml:space="preserve">Support micro-operators by setting up an efficient credit system (line of credit, micro-credit, etc.); and (ii) Take advantage of the legislative texts (Act 3 of Decentralization) to enable micro-operators to source additional material and financial resources. </w:t>
      </w:r>
    </w:p>
    <w:p w14:paraId="17756668" w14:textId="77777777" w:rsidR="00D70D43" w:rsidRPr="00910D89" w:rsidRDefault="00D70D43" w:rsidP="002E38A2">
      <w:pPr>
        <w:numPr>
          <w:ilvl w:val="0"/>
          <w:numId w:val="24"/>
        </w:numPr>
        <w:autoSpaceDE w:val="0"/>
        <w:autoSpaceDN w:val="0"/>
        <w:adjustRightInd w:val="0"/>
        <w:spacing w:after="0"/>
        <w:ind w:left="450" w:hanging="446"/>
        <w:contextualSpacing/>
        <w:jc w:val="both"/>
        <w:rPr>
          <w:rFonts w:ascii="Calibri" w:eastAsia="Times New Roman" w:hAnsi="Calibri" w:cs="Calibri"/>
        </w:rPr>
      </w:pPr>
      <w:r w:rsidRPr="00910D89">
        <w:rPr>
          <w:rFonts w:ascii="Calibri" w:eastAsia="Times New Roman" w:hAnsi="Calibri" w:cs="Calibri"/>
          <w:b/>
          <w:bCs/>
        </w:rPr>
        <w:t xml:space="preserve">Capacity building, communication, and awareness raising: </w:t>
      </w:r>
      <w:r w:rsidRPr="00910D89">
        <w:rPr>
          <w:rFonts w:ascii="Calibri" w:eastAsia="Times New Roman" w:hAnsi="Calibri" w:cs="Calibri"/>
          <w:bCs/>
        </w:rPr>
        <w:t xml:space="preserve">(i) </w:t>
      </w:r>
      <w:r w:rsidRPr="00910D89">
        <w:rPr>
          <w:rFonts w:ascii="Calibri" w:eastAsia="Times New Roman" w:hAnsi="Calibri" w:cs="Calibri"/>
        </w:rPr>
        <w:t xml:space="preserve">Design and implement an action plan on Information, Education, Communication, and Training; and </w:t>
      </w:r>
      <w:r>
        <w:rPr>
          <w:rFonts w:ascii="Calibri" w:eastAsia="Times New Roman" w:hAnsi="Calibri" w:cs="Calibri"/>
        </w:rPr>
        <w:t xml:space="preserve">(ii) </w:t>
      </w:r>
      <w:r w:rsidRPr="00910D89">
        <w:rPr>
          <w:rFonts w:ascii="Calibri" w:eastAsia="Times New Roman" w:hAnsi="Calibri" w:cs="Calibri"/>
        </w:rPr>
        <w:t>Strengthen the management capacity of micro-operators through appropriate training and management kits</w:t>
      </w:r>
      <w:r>
        <w:rPr>
          <w:rFonts w:ascii="Calibri" w:eastAsia="Times New Roman" w:hAnsi="Calibri" w:cs="Calibri"/>
        </w:rPr>
        <w:t xml:space="preserve">. </w:t>
      </w:r>
    </w:p>
    <w:p w14:paraId="0DE65E14" w14:textId="77777777" w:rsidR="00D70D43" w:rsidRPr="00547B1B" w:rsidRDefault="00D70D43" w:rsidP="00D70D43">
      <w:pPr>
        <w:jc w:val="both"/>
        <w:rPr>
          <w:rFonts w:ascii="Calibri" w:eastAsia="Times New Roman" w:hAnsi="Calibri" w:cs="Calibri"/>
          <w:b/>
        </w:rPr>
      </w:pPr>
    </w:p>
    <w:p w14:paraId="59B3E4E1"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3.1.5: Social marketing strategy</w:t>
      </w:r>
    </w:p>
    <w:p w14:paraId="65606DBE"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An effective waste management system requires civil information and involvement. Households require information on sorting and cost recovery of waste. The project will undertake actions such as: (i) Use the CBO channel to relay information; (ii) Communicate through different channels on the positive effects of cleanliness; (iii) Organize information and training sessions on recycling; and (iv) Create places of information sharing for citizens to increase their ownership on the theme of waste. </w:t>
      </w:r>
    </w:p>
    <w:p w14:paraId="3F5F0257" w14:textId="77777777" w:rsidR="00D70D43" w:rsidRPr="00547B1B" w:rsidRDefault="00D70D43" w:rsidP="00D70D43">
      <w:pPr>
        <w:jc w:val="both"/>
        <w:rPr>
          <w:rFonts w:ascii="Calibri" w:eastAsia="Times New Roman" w:hAnsi="Calibri" w:cs="Calibri"/>
          <w:b/>
        </w:rPr>
      </w:pPr>
    </w:p>
    <w:p w14:paraId="3AE9A829" w14:textId="77777777" w:rsidR="00D70D43" w:rsidRPr="00EE75DF" w:rsidRDefault="00D70D43" w:rsidP="00D70D43">
      <w:pPr>
        <w:jc w:val="both"/>
        <w:rPr>
          <w:rFonts w:ascii="Calibri" w:eastAsia="Times New Roman" w:hAnsi="Calibri" w:cs="Calibri"/>
          <w:i/>
        </w:rPr>
      </w:pPr>
      <w:r w:rsidRPr="00EE75DF">
        <w:rPr>
          <w:rFonts w:ascii="Calibri" w:eastAsia="Times New Roman" w:hAnsi="Calibri" w:cs="Calibri"/>
          <w:i/>
        </w:rPr>
        <w:t>Subcomponent 3.2: Infrastructure Development</w:t>
      </w:r>
    </w:p>
    <w:p w14:paraId="30E4FD98"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This subcomponent will support infrastructure development as well as equipment acquisition and logistical support. The proliferation of uncontrolled dumps and the prevalence of informality in the sorting and recycling sector need to be addressed. </w:t>
      </w:r>
    </w:p>
    <w:p w14:paraId="5BE17BBF" w14:textId="77777777" w:rsidR="00D70D43" w:rsidRPr="00547B1B" w:rsidRDefault="00D70D43" w:rsidP="00D70D43">
      <w:pPr>
        <w:jc w:val="both"/>
        <w:rPr>
          <w:rFonts w:ascii="Calibri" w:eastAsia="Times New Roman" w:hAnsi="Calibri" w:cs="Calibri"/>
          <w:b/>
        </w:rPr>
      </w:pPr>
    </w:p>
    <w:p w14:paraId="74552BD2"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lastRenderedPageBreak/>
        <w:t>Activity 3.2.1: The construction of PRNs and the installation of dumpsters</w:t>
      </w:r>
    </w:p>
    <w:p w14:paraId="027F048A"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In Standardized Regrouping Points (Points de </w:t>
      </w:r>
      <w:proofErr w:type="spellStart"/>
      <w:r w:rsidRPr="00EB1219">
        <w:rPr>
          <w:rFonts w:ascii="Calibri" w:eastAsia="Times New Roman" w:hAnsi="Calibri" w:cs="Calibri"/>
        </w:rPr>
        <w:t>Regroupement</w:t>
      </w:r>
      <w:proofErr w:type="spellEnd"/>
      <w:r w:rsidRPr="00EB1219">
        <w:rPr>
          <w:rFonts w:ascii="Calibri" w:eastAsia="Times New Roman" w:hAnsi="Calibri" w:cs="Calibri"/>
        </w:rPr>
        <w:t xml:space="preserve"> </w:t>
      </w:r>
      <w:proofErr w:type="spellStart"/>
      <w:r w:rsidRPr="00EB1219">
        <w:rPr>
          <w:rFonts w:ascii="Calibri" w:eastAsia="Times New Roman" w:hAnsi="Calibri" w:cs="Calibri"/>
        </w:rPr>
        <w:t>Normalisé</w:t>
      </w:r>
      <w:proofErr w:type="spellEnd"/>
      <w:r w:rsidRPr="00EB1219">
        <w:rPr>
          <w:rFonts w:ascii="Calibri" w:eastAsia="Times New Roman" w:hAnsi="Calibri" w:cs="Calibri"/>
        </w:rPr>
        <w:t xml:space="preserve"> - PRN) dumpsters can accommodate waste from pre-collection and make a primary selection before discharge to the landfill. The PRNs accommodate the pre-collection provided by horse-drawn carts, tricycles, or trolleys. These facilities will help prevent the proliferation of uncontrolled dumpsites and reduce collection and transportation costs.  The activities planned are: (i) technical, financial, environmental, and social studies for the establishment of PRNs; (ii) construction of PRNs; (iii) construction and supervision of works; and (iv) provision of storage bins. </w:t>
      </w:r>
    </w:p>
    <w:p w14:paraId="5DDDCF50" w14:textId="77777777" w:rsidR="00D70D43" w:rsidRPr="00547B1B" w:rsidRDefault="00D70D43" w:rsidP="00D70D43">
      <w:pPr>
        <w:jc w:val="both"/>
        <w:rPr>
          <w:rFonts w:ascii="Calibri" w:eastAsia="Times New Roman" w:hAnsi="Calibri" w:cs="Calibri"/>
        </w:rPr>
      </w:pPr>
    </w:p>
    <w:p w14:paraId="21671E36"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3.2.2: Establishment of Recycling Points</w:t>
      </w:r>
    </w:p>
    <w:p w14:paraId="0BFEC88D" w14:textId="77777777" w:rsidR="00D70D43" w:rsidRPr="00EB1219" w:rsidRDefault="00D70D43" w:rsidP="002E38A2">
      <w:pPr>
        <w:pStyle w:val="ListParagraph"/>
        <w:numPr>
          <w:ilvl w:val="0"/>
          <w:numId w:val="28"/>
        </w:numPr>
        <w:autoSpaceDE w:val="0"/>
        <w:autoSpaceDN w:val="0"/>
        <w:adjustRightInd w:val="0"/>
        <w:spacing w:after="0" w:line="240" w:lineRule="auto"/>
        <w:ind w:left="0" w:hanging="450"/>
        <w:jc w:val="both"/>
        <w:rPr>
          <w:rFonts w:ascii="Calibri" w:eastAsia="Times New Roman" w:hAnsi="Calibri" w:cs="Calibri"/>
        </w:rPr>
      </w:pPr>
      <w:r w:rsidRPr="00EB1219">
        <w:rPr>
          <w:rFonts w:ascii="Calibri" w:eastAsia="Times New Roman" w:hAnsi="Calibri" w:cs="Calibri"/>
        </w:rPr>
        <w:t xml:space="preserve">Domestic sorting will generate recyclable items, for which a chain of collection and marketing is required. </w:t>
      </w:r>
    </w:p>
    <w:p w14:paraId="48606EE9" w14:textId="77777777" w:rsidR="00D70D43" w:rsidRPr="00547B1B" w:rsidRDefault="00D70D43" w:rsidP="00D70D43">
      <w:pPr>
        <w:ind w:hanging="446"/>
        <w:contextualSpacing/>
        <w:jc w:val="both"/>
        <w:rPr>
          <w:rFonts w:ascii="Calibri" w:eastAsia="Times New Roman" w:hAnsi="Calibri" w:cs="Calibri"/>
        </w:rPr>
      </w:pPr>
      <w:r w:rsidRPr="00547B1B">
        <w:rPr>
          <w:rFonts w:ascii="Calibri" w:eastAsia="Times New Roman" w:hAnsi="Calibri" w:cs="Calibri"/>
        </w:rPr>
        <w:t xml:space="preserve">The project will finance the </w:t>
      </w:r>
      <w:r w:rsidRPr="00547B1B">
        <w:rPr>
          <w:rFonts w:ascii="Calibri" w:eastAsia="Times New Roman" w:hAnsi="Calibri" w:cs="Calibri"/>
          <w:bCs/>
          <w:iCs/>
        </w:rPr>
        <w:t>establishment of recycled goods shops.</w:t>
      </w:r>
    </w:p>
    <w:p w14:paraId="368BC87F" w14:textId="77777777" w:rsidR="00D70D43" w:rsidRPr="00547B1B" w:rsidRDefault="00D70D43" w:rsidP="00D70D43">
      <w:pPr>
        <w:jc w:val="both"/>
        <w:rPr>
          <w:rFonts w:ascii="Calibri" w:eastAsia="Times New Roman" w:hAnsi="Calibri" w:cs="Calibri"/>
        </w:rPr>
      </w:pPr>
    </w:p>
    <w:p w14:paraId="2B978089"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3.2.3: the development of public spaces</w:t>
      </w:r>
    </w:p>
    <w:p w14:paraId="6E2ADDC9"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project will develop and rehabilitate public space to improve the attractiveness of the site to make it more functional for its inhabitants, notably by integrating different uses (leisure, traveling, public events, sports, cultural, trade, etc.). This activity aims to rehabilitate public spaces by integrating their different uses: (i) Leisure: to encourage visitors to use different spaces; (ii) Travel: the majority of movement on these spaces is done on foot in conditions which, at the moment, do not ensure safety and comfort; and (iii) Events: Public spaces are a major gathering place for people for many activities such as sport, commerce, cultural activities, etc. Under this activity, the following are planned: (i) The development of Marist lakes; and (ii) Development around the </w:t>
      </w:r>
      <w:proofErr w:type="spellStart"/>
      <w:r w:rsidRPr="00EB1219">
        <w:rPr>
          <w:rFonts w:ascii="Calibri" w:eastAsia="Times New Roman" w:hAnsi="Calibri" w:cs="Calibri"/>
        </w:rPr>
        <w:t>Dalifort</w:t>
      </w:r>
      <w:proofErr w:type="spellEnd"/>
      <w:r w:rsidRPr="00EB1219">
        <w:rPr>
          <w:rFonts w:ascii="Calibri" w:eastAsia="Times New Roman" w:hAnsi="Calibri" w:cs="Calibri"/>
        </w:rPr>
        <w:t xml:space="preserve"> basin. </w:t>
      </w:r>
    </w:p>
    <w:p w14:paraId="7D8B55F0" w14:textId="77777777" w:rsidR="00D70D43" w:rsidRPr="00547B1B" w:rsidRDefault="00D70D43" w:rsidP="00D70D43">
      <w:pPr>
        <w:jc w:val="both"/>
        <w:rPr>
          <w:rFonts w:ascii="Calibri" w:eastAsia="Times New Roman" w:hAnsi="Calibri" w:cs="Calibri"/>
        </w:rPr>
      </w:pPr>
    </w:p>
    <w:p w14:paraId="656CC402" w14:textId="77777777" w:rsidR="00D70D43" w:rsidRPr="00EE75DF" w:rsidRDefault="00D70D43" w:rsidP="00D70D43">
      <w:pPr>
        <w:jc w:val="both"/>
        <w:rPr>
          <w:rFonts w:ascii="Calibri" w:eastAsia="Times New Roman" w:hAnsi="Calibri" w:cs="Calibri"/>
          <w:i/>
        </w:rPr>
      </w:pPr>
      <w:r w:rsidRPr="00EE75DF">
        <w:rPr>
          <w:rFonts w:ascii="Calibri" w:eastAsia="Times New Roman" w:hAnsi="Calibri" w:cs="Calibri"/>
          <w:i/>
        </w:rPr>
        <w:t>Subcomponent 3.3: Solid Waste Management System</w:t>
      </w:r>
    </w:p>
    <w:p w14:paraId="18A86941"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proposed approach supports the organization of the value chain. The value chain approach is recommended for simplified management but also to facilitate the identification of responsible actors. </w:t>
      </w:r>
    </w:p>
    <w:p w14:paraId="0FDAA501" w14:textId="77777777" w:rsidR="00D70D43" w:rsidRPr="00547B1B" w:rsidRDefault="00D70D43" w:rsidP="00D70D43">
      <w:pPr>
        <w:jc w:val="both"/>
        <w:rPr>
          <w:rFonts w:ascii="Calibri" w:eastAsia="Times New Roman" w:hAnsi="Calibri" w:cs="Calibri"/>
          <w:b/>
        </w:rPr>
      </w:pPr>
    </w:p>
    <w:p w14:paraId="51F8C84A"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 xml:space="preserve">Activity 3.3.1: Standardization </w:t>
      </w:r>
    </w:p>
    <w:p w14:paraId="5028B02C"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 xml:space="preserve">The use of regulation bins in households is not widespread and is a genuine problem for appropriate waste management, with direct consequences for public health. The promotion of standardization hinges on raising awareness and providing incentives. Through an awareness campaign and incentive subscription, the goal will be to provide one or multiple bins to households for sorting at the source. This activity will be entrusted to community actors who will collaborate with the Chefs de quartier. The bins will be reimbursed by installment payment over a period of 36 months to facilitate access to all social levels. </w:t>
      </w:r>
    </w:p>
    <w:p w14:paraId="43FB7A66" w14:textId="77777777" w:rsidR="00D70D43" w:rsidRPr="00547B1B" w:rsidRDefault="00D70D43" w:rsidP="00D70D43">
      <w:pPr>
        <w:jc w:val="both"/>
        <w:rPr>
          <w:rFonts w:ascii="Calibri" w:eastAsia="Times New Roman" w:hAnsi="Calibri" w:cs="Calibri"/>
        </w:rPr>
      </w:pPr>
      <w:r w:rsidRPr="00547B1B">
        <w:rPr>
          <w:rFonts w:ascii="Calibri" w:eastAsia="Times New Roman" w:hAnsi="Calibri" w:cs="Calibri"/>
        </w:rPr>
        <w:t xml:space="preserve">The project will </w:t>
      </w:r>
      <w:r w:rsidRPr="00547B1B">
        <w:rPr>
          <w:rFonts w:ascii="Calibri" w:eastAsia="Times New Roman" w:hAnsi="Calibri" w:cs="Calibri"/>
          <w:bCs/>
          <w:iCs/>
        </w:rPr>
        <w:t>provide initial supplies</w:t>
      </w:r>
      <w:r w:rsidRPr="00547B1B">
        <w:rPr>
          <w:rFonts w:ascii="Calibri" w:eastAsia="Times New Roman" w:hAnsi="Calibri" w:cs="Calibri"/>
          <w:b/>
          <w:i/>
        </w:rPr>
        <w:t xml:space="preserve"> </w:t>
      </w:r>
      <w:r w:rsidRPr="00547B1B">
        <w:rPr>
          <w:rFonts w:ascii="Calibri" w:eastAsia="Times New Roman" w:hAnsi="Calibri" w:cs="Calibri"/>
        </w:rPr>
        <w:t>in regulation bins that will be placed within households whose cost recovery will feed into a revolving fund.</w:t>
      </w:r>
    </w:p>
    <w:p w14:paraId="219382E8" w14:textId="77777777" w:rsidR="00D70D43" w:rsidRPr="00547B1B" w:rsidRDefault="00D70D43" w:rsidP="00D70D43">
      <w:pPr>
        <w:jc w:val="both"/>
        <w:rPr>
          <w:rFonts w:ascii="Calibri" w:eastAsia="Times New Roman" w:hAnsi="Calibri" w:cs="Calibri"/>
          <w:b/>
        </w:rPr>
      </w:pPr>
    </w:p>
    <w:p w14:paraId="3311CEAE"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lastRenderedPageBreak/>
        <w:t>Activity 3.3.2: Pre-collection</w:t>
      </w:r>
    </w:p>
    <w:p w14:paraId="4D32BF3A"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Pre-collection consists of removing solid waste at a defined frequency from households and businesses to collection points (PRNs). Pre-collection is provided by carts, tricycles, or trolleys. Pre-collection may be voluntary or door-to-door. To enable community actors to take charge of this link in the chain, the municipality must draw up specifications and sign a service contract with pre-collectors. They will collect a fee from households in return for the service provided. The municipality or its delegate will take all necessary measures for smooth operation of the pre-collection service. The project will ensure the purchase of carts, tricycles, or trolleys according to urban realities. Also, a Consultant will be recruited to prepare standard specifications for pre-collection.</w:t>
      </w:r>
    </w:p>
    <w:p w14:paraId="2EDF01FE" w14:textId="77777777" w:rsidR="00D70D43" w:rsidRPr="00547B1B" w:rsidRDefault="00D70D43" w:rsidP="00D70D43">
      <w:pPr>
        <w:jc w:val="both"/>
        <w:rPr>
          <w:rFonts w:ascii="Calibri" w:eastAsia="Times New Roman" w:hAnsi="Calibri" w:cs="Calibri"/>
          <w:b/>
        </w:rPr>
      </w:pPr>
    </w:p>
    <w:p w14:paraId="3C5C32A8" w14:textId="77777777" w:rsidR="00D70D43" w:rsidRPr="00547B1B" w:rsidRDefault="00D70D43" w:rsidP="00D70D43">
      <w:pPr>
        <w:jc w:val="both"/>
        <w:rPr>
          <w:rFonts w:ascii="Calibri" w:eastAsia="Times New Roman" w:hAnsi="Calibri" w:cs="Calibri"/>
          <w:b/>
        </w:rPr>
      </w:pPr>
      <w:r w:rsidRPr="00547B1B">
        <w:rPr>
          <w:rFonts w:ascii="Calibri" w:eastAsia="Times New Roman" w:hAnsi="Calibri" w:cs="Calibri"/>
          <w:b/>
        </w:rPr>
        <w:t>Activity 3.3.3: Cleaning</w:t>
      </w:r>
    </w:p>
    <w:p w14:paraId="38103884" w14:textId="77777777" w:rsidR="00D70D43" w:rsidRPr="00EB1219" w:rsidRDefault="00D70D43" w:rsidP="002E38A2">
      <w:pPr>
        <w:pStyle w:val="ListParagraph"/>
        <w:numPr>
          <w:ilvl w:val="0"/>
          <w:numId w:val="28"/>
        </w:numPr>
        <w:autoSpaceDE w:val="0"/>
        <w:autoSpaceDN w:val="0"/>
        <w:adjustRightInd w:val="0"/>
        <w:spacing w:after="0"/>
        <w:ind w:left="0" w:hanging="446"/>
        <w:jc w:val="both"/>
        <w:rPr>
          <w:rFonts w:ascii="Calibri" w:eastAsia="Times New Roman" w:hAnsi="Calibri" w:cs="Calibri"/>
        </w:rPr>
      </w:pPr>
      <w:r w:rsidRPr="00EB1219">
        <w:rPr>
          <w:rFonts w:ascii="Calibri" w:eastAsia="Times New Roman" w:hAnsi="Calibri" w:cs="Calibri"/>
        </w:rPr>
        <w:t>The UCG has a street cleaning system that is limited to main roads. Despite this existing mechanism, the rate of cleanup remains insufficient. In neighborhoods, CBOs through ad hoc human or labor-intensive activities (HIMO) carry out cleaning of neighborhoods and secondary streets. They will benefit from staffing small cleaning equipment. The project will ensure the provision of small cleaning equipment.</w:t>
      </w:r>
    </w:p>
    <w:p w14:paraId="6154DF7E" w14:textId="77777777" w:rsidR="00D70D43" w:rsidRPr="00547B1B" w:rsidRDefault="00D70D43" w:rsidP="00D70D43">
      <w:pPr>
        <w:jc w:val="both"/>
        <w:rPr>
          <w:rFonts w:ascii="Calibri" w:eastAsia="Times New Roman" w:hAnsi="Calibri" w:cs="Calibri"/>
        </w:rPr>
      </w:pPr>
    </w:p>
    <w:p w14:paraId="100EBFD1" w14:textId="77777777" w:rsidR="00D70D43" w:rsidRPr="00547B1B" w:rsidRDefault="00D70D43" w:rsidP="00D70D43">
      <w:pPr>
        <w:jc w:val="both"/>
        <w:rPr>
          <w:rFonts w:ascii="Calibri" w:eastAsia="Times New Roman" w:hAnsi="Calibri" w:cs="Calibri"/>
        </w:rPr>
      </w:pPr>
      <w:r w:rsidRPr="00547B1B">
        <w:rPr>
          <w:rFonts w:ascii="Calibri" w:eastAsia="Times New Roman" w:hAnsi="Calibri" w:cs="Calibri"/>
        </w:rPr>
        <w:t>Table: Matrix of the responsibilities of the actors</w:t>
      </w:r>
    </w:p>
    <w:tbl>
      <w:tblPr>
        <w:tblStyle w:val="DocumentTable2"/>
        <w:tblW w:w="0" w:type="auto"/>
        <w:tblLook w:val="04A0" w:firstRow="1" w:lastRow="0" w:firstColumn="1" w:lastColumn="0" w:noHBand="0" w:noVBand="1"/>
      </w:tblPr>
      <w:tblGrid>
        <w:gridCol w:w="2155"/>
        <w:gridCol w:w="7195"/>
      </w:tblGrid>
      <w:tr w:rsidR="00D70D43" w14:paraId="578D9FE9" w14:textId="77777777" w:rsidTr="007463F5">
        <w:trPr>
          <w:cantSplit/>
        </w:trPr>
        <w:tc>
          <w:tcPr>
            <w:tcW w:w="2155" w:type="dxa"/>
          </w:tcPr>
          <w:p w14:paraId="20E15CA4" w14:textId="77777777" w:rsidR="00D70D43" w:rsidRPr="00547B1B" w:rsidRDefault="00D70D43" w:rsidP="007463F5">
            <w:pPr>
              <w:spacing w:line="264" w:lineRule="auto"/>
              <w:rPr>
                <w:rFonts w:ascii="Calibri" w:eastAsia="Times New Roman" w:hAnsi="Calibri" w:cs="Times New Roman"/>
                <w:b/>
              </w:rPr>
            </w:pPr>
            <w:r w:rsidRPr="00547B1B">
              <w:rPr>
                <w:rFonts w:ascii="Calibri" w:eastAsia="Times New Roman" w:hAnsi="Calibri" w:cs="Times New Roman"/>
                <w:b/>
              </w:rPr>
              <w:t>Stakeholders</w:t>
            </w:r>
          </w:p>
        </w:tc>
        <w:tc>
          <w:tcPr>
            <w:tcW w:w="7195" w:type="dxa"/>
          </w:tcPr>
          <w:p w14:paraId="00ABBD66" w14:textId="77777777" w:rsidR="00D70D43" w:rsidRPr="00547B1B" w:rsidRDefault="00D70D43" w:rsidP="007463F5">
            <w:pPr>
              <w:spacing w:line="264" w:lineRule="auto"/>
              <w:rPr>
                <w:rFonts w:ascii="Calibri" w:eastAsia="Times New Roman" w:hAnsi="Calibri" w:cs="Times New Roman"/>
                <w:b/>
              </w:rPr>
            </w:pPr>
            <w:r w:rsidRPr="00547B1B">
              <w:rPr>
                <w:rFonts w:ascii="Calibri" w:eastAsia="Times New Roman" w:hAnsi="Calibri" w:cs="Times New Roman"/>
                <w:b/>
              </w:rPr>
              <w:t>Responsibilities</w:t>
            </w:r>
          </w:p>
        </w:tc>
      </w:tr>
      <w:tr w:rsidR="00D70D43" w14:paraId="2C6ADE58" w14:textId="77777777" w:rsidTr="007463F5">
        <w:trPr>
          <w:cantSplit/>
        </w:trPr>
        <w:tc>
          <w:tcPr>
            <w:tcW w:w="2155" w:type="dxa"/>
          </w:tcPr>
          <w:p w14:paraId="6F3C8DC7"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DEEC</w:t>
            </w:r>
          </w:p>
        </w:tc>
        <w:tc>
          <w:tcPr>
            <w:tcW w:w="7195" w:type="dxa"/>
          </w:tcPr>
          <w:p w14:paraId="0117F253"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Project Executing Agency</w:t>
            </w:r>
          </w:p>
          <w:p w14:paraId="0EB8045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planning, coordination, monitoring and evaluation</w:t>
            </w:r>
          </w:p>
          <w:p w14:paraId="448B3B33" w14:textId="77777777" w:rsidR="00D70D43" w:rsidRPr="00351376"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Ensures the trusteeship</w:t>
            </w:r>
          </w:p>
        </w:tc>
      </w:tr>
      <w:tr w:rsidR="00D70D43" w14:paraId="5B6938E9" w14:textId="77777777" w:rsidTr="007463F5">
        <w:trPr>
          <w:cantSplit/>
        </w:trPr>
        <w:tc>
          <w:tcPr>
            <w:tcW w:w="2155" w:type="dxa"/>
          </w:tcPr>
          <w:p w14:paraId="1AE0AACA"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Municipality</w:t>
            </w:r>
          </w:p>
        </w:tc>
        <w:tc>
          <w:tcPr>
            <w:tcW w:w="7195" w:type="dxa"/>
          </w:tcPr>
          <w:p w14:paraId="3804D289"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Define local policy, coordinate and develop solid waste management tools</w:t>
            </w:r>
          </w:p>
          <w:p w14:paraId="2C0DB2BA"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Ensures the financial balance of the system</w:t>
            </w:r>
          </w:p>
          <w:p w14:paraId="248E650F"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Promote a local technical committee</w:t>
            </w:r>
          </w:p>
          <w:p w14:paraId="05C7C1FA" w14:textId="77777777" w:rsidR="00D70D43" w:rsidRPr="00351376" w:rsidRDefault="00D70D43" w:rsidP="002E38A2">
            <w:pPr>
              <w:numPr>
                <w:ilvl w:val="0"/>
                <w:numId w:val="6"/>
              </w:numPr>
              <w:spacing w:line="264" w:lineRule="auto"/>
              <w:rPr>
                <w:rFonts w:ascii="Calibri" w:eastAsia="Times New Roman" w:hAnsi="Calibri" w:cs="Times New Roman"/>
                <w:lang w:val="pt-PT"/>
              </w:rPr>
            </w:pPr>
            <w:r w:rsidRPr="00547B1B">
              <w:rPr>
                <w:rFonts w:ascii="Calibri" w:eastAsia="Times New Roman" w:hAnsi="Calibri" w:cs="Times New Roman"/>
                <w:lang w:val="pt-PT"/>
              </w:rPr>
              <w:t xml:space="preserve">Provides a municipal hygiene brigade </w:t>
            </w:r>
          </w:p>
        </w:tc>
      </w:tr>
      <w:tr w:rsidR="00D70D43" w14:paraId="3F8EA505" w14:textId="77777777" w:rsidTr="007463F5">
        <w:trPr>
          <w:cantSplit/>
        </w:trPr>
        <w:tc>
          <w:tcPr>
            <w:tcW w:w="2155" w:type="dxa"/>
          </w:tcPr>
          <w:p w14:paraId="6EB9191C"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Local Technical Committee</w:t>
            </w:r>
          </w:p>
        </w:tc>
        <w:tc>
          <w:tcPr>
            <w:tcW w:w="7195" w:type="dxa"/>
          </w:tcPr>
          <w:p w14:paraId="4E05388A"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Frame and evaluate the Waste Management Operational Plan (POGD)</w:t>
            </w:r>
          </w:p>
          <w:p w14:paraId="3956D93B"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Proposes solutions to the Municipality (decision support)</w:t>
            </w:r>
          </w:p>
          <w:p w14:paraId="53D870C4"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Defines the orientations of the solid waste management system</w:t>
            </w:r>
          </w:p>
          <w:p w14:paraId="316B0238"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Gives his opinion on the technical standards of the infrastructures and the choice of the appropriate logistics</w:t>
            </w:r>
          </w:p>
          <w:p w14:paraId="7140F136"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Impulse a synergy of actors</w:t>
            </w:r>
          </w:p>
          <w:p w14:paraId="6372A0C6" w14:textId="77777777" w:rsidR="00D70D43" w:rsidRPr="00E50B73"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Supervise the intervention of the different actors</w:t>
            </w:r>
          </w:p>
        </w:tc>
      </w:tr>
      <w:tr w:rsidR="00D70D43" w14:paraId="13FAC6F1" w14:textId="77777777" w:rsidTr="007463F5">
        <w:trPr>
          <w:cantSplit/>
        </w:trPr>
        <w:tc>
          <w:tcPr>
            <w:tcW w:w="2155" w:type="dxa"/>
          </w:tcPr>
          <w:p w14:paraId="5E5D8988"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lastRenderedPageBreak/>
              <w:t>UCG</w:t>
            </w:r>
          </w:p>
        </w:tc>
        <w:tc>
          <w:tcPr>
            <w:tcW w:w="7195" w:type="dxa"/>
          </w:tcPr>
          <w:p w14:paraId="457202A5"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the collection service, transport of garbage, and disposal in landfill</w:t>
            </w:r>
          </w:p>
          <w:p w14:paraId="41DC3E6C"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Can contract with private partners</w:t>
            </w:r>
          </w:p>
          <w:p w14:paraId="39537DD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Supervise the management and operation of infrastructures</w:t>
            </w:r>
          </w:p>
          <w:p w14:paraId="530F7B51" w14:textId="77777777" w:rsidR="00D70D43" w:rsidRPr="00022424"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Participate in the sensitization of the populations</w:t>
            </w:r>
          </w:p>
        </w:tc>
      </w:tr>
      <w:tr w:rsidR="00D70D43" w14:paraId="7B5C6AA6" w14:textId="77777777" w:rsidTr="007463F5">
        <w:trPr>
          <w:cantSplit/>
        </w:trPr>
        <w:tc>
          <w:tcPr>
            <w:tcW w:w="2155" w:type="dxa"/>
          </w:tcPr>
          <w:p w14:paraId="16AED056"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Community companies</w:t>
            </w:r>
          </w:p>
        </w:tc>
        <w:tc>
          <w:tcPr>
            <w:tcW w:w="7195" w:type="dxa"/>
          </w:tcPr>
          <w:p w14:paraId="4B7B435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Promotes regulatory packaging and source sorting</w:t>
            </w:r>
          </w:p>
          <w:p w14:paraId="52D3411D"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pre-collection</w:t>
            </w:r>
          </w:p>
          <w:p w14:paraId="0D75CD94" w14:textId="77777777" w:rsidR="00D70D43" w:rsidRPr="00022424"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Actively participate in raising awareness</w:t>
            </w:r>
          </w:p>
        </w:tc>
      </w:tr>
      <w:tr w:rsidR="00D70D43" w14:paraId="6B0C951D" w14:textId="77777777" w:rsidTr="007463F5">
        <w:trPr>
          <w:cantSplit/>
        </w:trPr>
        <w:tc>
          <w:tcPr>
            <w:tcW w:w="2155" w:type="dxa"/>
          </w:tcPr>
          <w:p w14:paraId="237451E0"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Households</w:t>
            </w:r>
          </w:p>
        </w:tc>
        <w:tc>
          <w:tcPr>
            <w:tcW w:w="7195" w:type="dxa"/>
          </w:tcPr>
          <w:p w14:paraId="4075C3AF"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Ensure the regulatory conditioning of solid waste in appropriate containers</w:t>
            </w:r>
          </w:p>
          <w:p w14:paraId="00E0EB17"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Make the first level of sorting (plastic and glass bottles, sand, metals, etc.)</w:t>
            </w:r>
          </w:p>
          <w:p w14:paraId="4FA79504"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Participate financially in the management of garbage</w:t>
            </w:r>
          </w:p>
        </w:tc>
      </w:tr>
      <w:tr w:rsidR="00D70D43" w14:paraId="24008A46" w14:textId="77777777" w:rsidTr="007463F5">
        <w:trPr>
          <w:cantSplit/>
        </w:trPr>
        <w:tc>
          <w:tcPr>
            <w:tcW w:w="2155" w:type="dxa"/>
          </w:tcPr>
          <w:p w14:paraId="5CC17CF5" w14:textId="77777777" w:rsidR="00D70D43" w:rsidRPr="00547B1B" w:rsidRDefault="00D70D43" w:rsidP="007463F5">
            <w:pPr>
              <w:spacing w:line="264" w:lineRule="auto"/>
              <w:rPr>
                <w:rFonts w:ascii="Calibri" w:eastAsia="Times New Roman" w:hAnsi="Calibri" w:cs="Times New Roman"/>
              </w:rPr>
            </w:pPr>
            <w:r w:rsidRPr="00547B1B">
              <w:rPr>
                <w:rFonts w:ascii="Calibri" w:eastAsia="Times New Roman" w:hAnsi="Calibri" w:cs="Times New Roman"/>
              </w:rPr>
              <w:t>NGOs</w:t>
            </w:r>
          </w:p>
        </w:tc>
        <w:tc>
          <w:tcPr>
            <w:tcW w:w="7195" w:type="dxa"/>
          </w:tcPr>
          <w:p w14:paraId="05E3B3ED"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Provides information and awareness</w:t>
            </w:r>
          </w:p>
          <w:p w14:paraId="0B7A3450"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Accompanies environmental education in schools</w:t>
            </w:r>
          </w:p>
          <w:p w14:paraId="6A3590CA" w14:textId="77777777" w:rsidR="00D70D43" w:rsidRPr="00547B1B" w:rsidRDefault="00D70D43" w:rsidP="002E38A2">
            <w:pPr>
              <w:numPr>
                <w:ilvl w:val="0"/>
                <w:numId w:val="6"/>
              </w:numPr>
              <w:spacing w:line="264" w:lineRule="auto"/>
              <w:rPr>
                <w:rFonts w:ascii="Calibri" w:eastAsia="Times New Roman" w:hAnsi="Calibri" w:cs="Times New Roman"/>
              </w:rPr>
            </w:pPr>
            <w:r w:rsidRPr="00547B1B">
              <w:rPr>
                <w:rFonts w:ascii="Calibri" w:eastAsia="Times New Roman" w:hAnsi="Calibri" w:cs="Times New Roman"/>
              </w:rPr>
              <w:t>Strengthen the capacities of community actors</w:t>
            </w:r>
          </w:p>
        </w:tc>
      </w:tr>
    </w:tbl>
    <w:p w14:paraId="43C560B1" w14:textId="77777777" w:rsidR="00D70D43" w:rsidRPr="00547B1B" w:rsidRDefault="00D70D43" w:rsidP="00D70D43">
      <w:pPr>
        <w:jc w:val="both"/>
        <w:rPr>
          <w:rFonts w:ascii="Calibri" w:eastAsia="Times New Roman" w:hAnsi="Calibri" w:cs="Calibri"/>
        </w:rPr>
      </w:pPr>
    </w:p>
    <w:p w14:paraId="061B4829" w14:textId="77777777" w:rsidR="00D70D43" w:rsidRDefault="00D70D43" w:rsidP="00D70D43">
      <w:pPr>
        <w:contextualSpacing/>
        <w:jc w:val="both"/>
        <w:rPr>
          <w:rFonts w:ascii="Calibri" w:eastAsia="Times New Roman" w:hAnsi="Calibri" w:cs="Calibri"/>
        </w:rPr>
      </w:pPr>
      <w:r w:rsidRPr="00547B1B">
        <w:rPr>
          <w:rFonts w:ascii="Calibri" w:eastAsia="Times New Roman" w:hAnsi="Calibri" w:cs="Calibri"/>
          <w:b/>
        </w:rPr>
        <w:t>Component 4. Project coordination and management (US$ 2</w:t>
      </w:r>
      <w:r>
        <w:rPr>
          <w:rFonts w:ascii="Calibri" w:eastAsia="Times New Roman" w:hAnsi="Calibri" w:cs="Calibri"/>
          <w:b/>
        </w:rPr>
        <w:t>62,123</w:t>
      </w:r>
      <w:r w:rsidRPr="00547B1B">
        <w:rPr>
          <w:rFonts w:ascii="Calibri" w:eastAsia="Times New Roman" w:hAnsi="Calibri" w:cs="Calibri"/>
          <w:b/>
        </w:rPr>
        <w:t xml:space="preserve"> GEF). </w:t>
      </w:r>
      <w:r>
        <w:rPr>
          <w:rFonts w:ascii="Calibri" w:eastAsia="Times New Roman" w:hAnsi="Calibri" w:cs="Calibri"/>
          <w:b/>
        </w:rPr>
        <w:t xml:space="preserve"> </w:t>
      </w:r>
      <w:r w:rsidRPr="00547B1B">
        <w:rPr>
          <w:rFonts w:ascii="Calibri" w:eastAsia="Times New Roman" w:hAnsi="Calibri" w:cs="Calibri"/>
        </w:rPr>
        <w:t xml:space="preserve">This component will provide the resources necessary for effective project coordination and management; monitoring and evaluation at the national, local and regional levels; coordination with the UCG, which is implementing the PROMOGED. The Environment and Classified Establishments Directorate (Division de </w:t>
      </w:r>
      <w:proofErr w:type="spellStart"/>
      <w:r w:rsidRPr="00547B1B">
        <w:rPr>
          <w:rFonts w:ascii="Calibri" w:eastAsia="Times New Roman" w:hAnsi="Calibri" w:cs="Calibri"/>
        </w:rPr>
        <w:t>l'Environnement</w:t>
      </w:r>
      <w:proofErr w:type="spellEnd"/>
      <w:r w:rsidRPr="00547B1B">
        <w:rPr>
          <w:rFonts w:ascii="Calibri" w:eastAsia="Times New Roman" w:hAnsi="Calibri" w:cs="Calibri"/>
        </w:rPr>
        <w:t xml:space="preserve"> et des </w:t>
      </w:r>
      <w:proofErr w:type="spellStart"/>
      <w:r w:rsidRPr="00547B1B">
        <w:rPr>
          <w:rFonts w:ascii="Calibri" w:eastAsia="Times New Roman" w:hAnsi="Calibri" w:cs="Calibri"/>
        </w:rPr>
        <w:t>Etablissements</w:t>
      </w:r>
      <w:proofErr w:type="spellEnd"/>
      <w:r w:rsidRPr="00547B1B">
        <w:rPr>
          <w:rFonts w:ascii="Calibri" w:eastAsia="Times New Roman" w:hAnsi="Calibri" w:cs="Calibri"/>
        </w:rPr>
        <w:t xml:space="preserve"> </w:t>
      </w:r>
      <w:proofErr w:type="spellStart"/>
      <w:r w:rsidRPr="00547B1B">
        <w:rPr>
          <w:rFonts w:ascii="Calibri" w:eastAsia="Times New Roman" w:hAnsi="Calibri" w:cs="Calibri"/>
        </w:rPr>
        <w:t>Classés</w:t>
      </w:r>
      <w:proofErr w:type="spellEnd"/>
      <w:r w:rsidRPr="00547B1B">
        <w:rPr>
          <w:rFonts w:ascii="Calibri" w:eastAsia="Times New Roman" w:hAnsi="Calibri" w:cs="Calibri"/>
        </w:rPr>
        <w:t xml:space="preserve"> - DEEC) of the Senegalese Ministry of Environment is the implementation agency responsible for implementing this project.</w:t>
      </w:r>
    </w:p>
    <w:p w14:paraId="5FAC08E9" w14:textId="77777777" w:rsidR="00D70D43" w:rsidRDefault="00D70D43" w:rsidP="00D70D43">
      <w:pPr>
        <w:contextualSpacing/>
        <w:jc w:val="both"/>
        <w:rPr>
          <w:rFonts w:ascii="Calibri" w:eastAsia="Times New Roman" w:hAnsi="Calibri" w:cs="Calibri"/>
        </w:rPr>
      </w:pPr>
    </w:p>
    <w:p w14:paraId="65DEBF70" w14:textId="38915562" w:rsidR="00D70D43" w:rsidRPr="00E113DA" w:rsidRDefault="00D70D43" w:rsidP="002E38A2">
      <w:pPr>
        <w:pStyle w:val="ListParagraph"/>
        <w:numPr>
          <w:ilvl w:val="0"/>
          <w:numId w:val="28"/>
        </w:numPr>
        <w:autoSpaceDE w:val="0"/>
        <w:autoSpaceDN w:val="0"/>
        <w:adjustRightInd w:val="0"/>
        <w:ind w:left="0" w:hanging="450"/>
        <w:jc w:val="both"/>
        <w:rPr>
          <w:rFonts w:cstheme="minorHAnsi"/>
        </w:rPr>
      </w:pPr>
      <w:r w:rsidRPr="00E113DA">
        <w:rPr>
          <w:rFonts w:cstheme="minorHAnsi"/>
          <w:b/>
        </w:rPr>
        <w:t>Incremental</w:t>
      </w:r>
      <w:r w:rsidR="006923E9">
        <w:rPr>
          <w:rFonts w:cstheme="minorHAnsi"/>
          <w:b/>
        </w:rPr>
        <w:t xml:space="preserve"> R</w:t>
      </w:r>
      <w:r w:rsidRPr="00E113DA">
        <w:rPr>
          <w:rFonts w:cstheme="minorHAnsi"/>
          <w:b/>
        </w:rPr>
        <w:t>easoning and co-financing.</w:t>
      </w:r>
      <w:r w:rsidR="00542BC8">
        <w:rPr>
          <w:rFonts w:cstheme="minorHAnsi"/>
          <w:b/>
        </w:rPr>
        <w:t xml:space="preserve"> </w:t>
      </w:r>
      <w:r w:rsidR="00542BC8" w:rsidRPr="00542BC8">
        <w:rPr>
          <w:rFonts w:cstheme="minorHAnsi"/>
        </w:rPr>
        <w:t>The project will build upon</w:t>
      </w:r>
      <w:r w:rsidR="00542BC8">
        <w:rPr>
          <w:rFonts w:cstheme="minorHAnsi"/>
          <w:color w:val="000000" w:themeColor="text1"/>
        </w:rPr>
        <w:t xml:space="preserve"> the</w:t>
      </w:r>
      <w:r w:rsidRPr="00542BC8">
        <w:rPr>
          <w:rFonts w:cstheme="minorHAnsi"/>
          <w:color w:val="000000" w:themeColor="text1"/>
        </w:rPr>
        <w:t xml:space="preserve"> </w:t>
      </w:r>
      <w:r w:rsidR="00542BC8" w:rsidRPr="009E5D0A">
        <w:rPr>
          <w:rFonts w:cstheme="minorHAnsi"/>
          <w:color w:val="000000" w:themeColor="text1"/>
        </w:rPr>
        <w:t>Municipal Solid Waste Management Project (</w:t>
      </w:r>
      <w:proofErr w:type="spellStart"/>
      <w:r w:rsidR="00542BC8" w:rsidRPr="009E5D0A">
        <w:rPr>
          <w:rFonts w:cstheme="minorHAnsi"/>
          <w:color w:val="000000" w:themeColor="text1"/>
        </w:rPr>
        <w:t>Projet</w:t>
      </w:r>
      <w:proofErr w:type="spellEnd"/>
      <w:r w:rsidR="00542BC8" w:rsidRPr="009E5D0A">
        <w:rPr>
          <w:rFonts w:cstheme="minorHAnsi"/>
          <w:color w:val="000000" w:themeColor="text1"/>
        </w:rPr>
        <w:t xml:space="preserve"> de Promotion de la Gestion </w:t>
      </w:r>
      <w:proofErr w:type="spellStart"/>
      <w:r w:rsidR="00542BC8" w:rsidRPr="009E5D0A">
        <w:rPr>
          <w:rFonts w:cstheme="minorHAnsi"/>
          <w:color w:val="000000" w:themeColor="text1"/>
        </w:rPr>
        <w:t>Intégrée</w:t>
      </w:r>
      <w:proofErr w:type="spellEnd"/>
      <w:r w:rsidR="00542BC8" w:rsidRPr="009E5D0A">
        <w:rPr>
          <w:rFonts w:cstheme="minorHAnsi"/>
          <w:color w:val="000000" w:themeColor="text1"/>
        </w:rPr>
        <w:t xml:space="preserve"> et de </w:t>
      </w:r>
      <w:proofErr w:type="spellStart"/>
      <w:r w:rsidR="00542BC8" w:rsidRPr="009E5D0A">
        <w:rPr>
          <w:rFonts w:cstheme="minorHAnsi"/>
          <w:color w:val="000000" w:themeColor="text1"/>
        </w:rPr>
        <w:t>l’Economie</w:t>
      </w:r>
      <w:proofErr w:type="spellEnd"/>
      <w:r w:rsidR="00542BC8" w:rsidRPr="009E5D0A">
        <w:rPr>
          <w:rFonts w:cstheme="minorHAnsi"/>
          <w:color w:val="000000" w:themeColor="text1"/>
        </w:rPr>
        <w:t xml:space="preserve"> des </w:t>
      </w:r>
      <w:proofErr w:type="spellStart"/>
      <w:r w:rsidR="00542BC8" w:rsidRPr="009E5D0A">
        <w:rPr>
          <w:rFonts w:cstheme="minorHAnsi"/>
          <w:color w:val="000000" w:themeColor="text1"/>
        </w:rPr>
        <w:t>Déchets</w:t>
      </w:r>
      <w:proofErr w:type="spellEnd"/>
      <w:r w:rsidR="00542BC8" w:rsidRPr="009E5D0A">
        <w:rPr>
          <w:rFonts w:cstheme="minorHAnsi"/>
          <w:color w:val="000000" w:themeColor="text1"/>
        </w:rPr>
        <w:t xml:space="preserve"> au Senegal – PROMOGED) (P161477</w:t>
      </w:r>
      <w:r w:rsidR="00760B41">
        <w:rPr>
          <w:rFonts w:cstheme="minorHAnsi"/>
          <w:color w:val="000000" w:themeColor="text1"/>
        </w:rPr>
        <w:t>, US$300 M</w:t>
      </w:r>
      <w:r w:rsidR="00542BC8" w:rsidRPr="009E5D0A">
        <w:rPr>
          <w:rFonts w:cstheme="minorHAnsi"/>
          <w:color w:val="000000" w:themeColor="text1"/>
        </w:rPr>
        <w:t xml:space="preserve">), which focuses on improved solid waste management services in selected cities in Senegal. </w:t>
      </w:r>
      <w:r w:rsidRPr="00E113DA">
        <w:rPr>
          <w:rFonts w:cstheme="minorHAnsi"/>
        </w:rPr>
        <w:t xml:space="preserve">GEF resources will assist the </w:t>
      </w:r>
      <w:r>
        <w:rPr>
          <w:rFonts w:cstheme="minorHAnsi"/>
        </w:rPr>
        <w:t>G</w:t>
      </w:r>
      <w:r w:rsidRPr="00E113DA">
        <w:rPr>
          <w:rFonts w:cstheme="minorHAnsi"/>
        </w:rPr>
        <w:t>overnment of Senegal to improve the collection and recycling system as well as establish appropriate BAT/BEP to reduce the release of UPOPs from open burning of waste in uncontrolled dumpsites. GEF resources will increase awareness of risks related to the significant adverse impacts on human health and the environment from the release of dioxins and furans and will promote environmentally</w:t>
      </w:r>
      <w:r>
        <w:rPr>
          <w:rFonts w:cstheme="minorHAnsi"/>
        </w:rPr>
        <w:t>-</w:t>
      </w:r>
      <w:r w:rsidRPr="00E113DA">
        <w:rPr>
          <w:rFonts w:cstheme="minorHAnsi"/>
        </w:rPr>
        <w:t xml:space="preserve">sound alternatives. </w:t>
      </w:r>
      <w:r>
        <w:rPr>
          <w:rFonts w:cstheme="minorHAnsi"/>
        </w:rPr>
        <w:t xml:space="preserve"> </w:t>
      </w:r>
      <w:r w:rsidRPr="00E113DA">
        <w:rPr>
          <w:rFonts w:cstheme="minorHAnsi"/>
        </w:rPr>
        <w:t xml:space="preserve">To effectively implement this project, ensure cost effectiveness, and increase efficiency, the </w:t>
      </w:r>
      <w:r>
        <w:rPr>
          <w:rFonts w:cstheme="minorHAnsi"/>
        </w:rPr>
        <w:t>P</w:t>
      </w:r>
      <w:r w:rsidRPr="00E113DA">
        <w:rPr>
          <w:rFonts w:cstheme="minorHAnsi"/>
        </w:rPr>
        <w:t xml:space="preserve">roject will refer to the World Bank's </w:t>
      </w:r>
      <w:r w:rsidRPr="00E113DA">
        <w:rPr>
          <w:rFonts w:cstheme="minorHAnsi"/>
          <w:u w:val="single"/>
        </w:rPr>
        <w:t>Strategic Planning Guide for Municipal Solid Waste Management</w:t>
      </w:r>
      <w:r w:rsidRPr="00E113DA">
        <w:rPr>
          <w:rFonts w:cstheme="minorHAnsi"/>
        </w:rPr>
        <w:t xml:space="preserve"> as well as lessons learned from past and ongoing projects. </w:t>
      </w:r>
      <w:r>
        <w:rPr>
          <w:rFonts w:cstheme="minorHAnsi"/>
        </w:rPr>
        <w:t xml:space="preserve"> </w:t>
      </w:r>
      <w:r w:rsidRPr="00E113DA">
        <w:rPr>
          <w:rFonts w:cstheme="minorHAnsi"/>
        </w:rPr>
        <w:t>The World Bank is implementing a study</w:t>
      </w:r>
      <w:r w:rsidRPr="00E113DA">
        <w:rPr>
          <w:rStyle w:val="FootnoteReference"/>
          <w:rFonts w:cstheme="minorHAnsi"/>
        </w:rPr>
        <w:footnoteReference w:id="50"/>
      </w:r>
      <w:r w:rsidRPr="00E113DA">
        <w:rPr>
          <w:rFonts w:cstheme="minorHAnsi"/>
        </w:rPr>
        <w:t xml:space="preserve"> to provide recommendations to improve the performance of solid waste management through output-based aid mechanisms. </w:t>
      </w:r>
      <w:r>
        <w:rPr>
          <w:rFonts w:cstheme="minorHAnsi"/>
        </w:rPr>
        <w:t xml:space="preserve"> </w:t>
      </w:r>
      <w:r w:rsidRPr="00E113DA">
        <w:rPr>
          <w:rFonts w:cstheme="minorHAnsi"/>
        </w:rPr>
        <w:t xml:space="preserve">A focus of this activity will be to identify solutions that improve access to sound solid waste services to poor households. Senegal has also experienced innovative financing through public-private joint ventures to deliver improved waste </w:t>
      </w:r>
      <w:r w:rsidRPr="00E113DA">
        <w:rPr>
          <w:rFonts w:cstheme="minorHAnsi"/>
        </w:rPr>
        <w:lastRenderedPageBreak/>
        <w:t xml:space="preserve">management services and enhanced cost efficiency. </w:t>
      </w:r>
      <w:r>
        <w:rPr>
          <w:rFonts w:cstheme="minorHAnsi"/>
        </w:rPr>
        <w:t xml:space="preserve"> </w:t>
      </w:r>
      <w:r w:rsidRPr="00E113DA">
        <w:rPr>
          <w:rFonts w:cstheme="minorHAnsi"/>
        </w:rPr>
        <w:t xml:space="preserve">Co-financing will contribute to fund the gap analysis of the legal framework needed to support the project intervention. </w:t>
      </w:r>
      <w:r>
        <w:rPr>
          <w:rFonts w:cstheme="minorHAnsi"/>
        </w:rPr>
        <w:t xml:space="preserve"> </w:t>
      </w:r>
      <w:r w:rsidRPr="00E113DA">
        <w:rPr>
          <w:rFonts w:cstheme="minorHAnsi"/>
        </w:rPr>
        <w:t>It will contribute to eliminate illegal dumping of hazardous waste in the area surrounding the lakes and to develop a green space where the private sector can invest to create recreational activities, commercial activities, restaurants, etc.</w:t>
      </w:r>
    </w:p>
    <w:p w14:paraId="2D632200" w14:textId="77777777" w:rsidR="00D70D43" w:rsidRPr="00547B1B" w:rsidRDefault="00D70D43" w:rsidP="00D70D43">
      <w:pPr>
        <w:ind w:left="3"/>
        <w:contextualSpacing/>
        <w:jc w:val="both"/>
        <w:rPr>
          <w:rFonts w:eastAsia="Times New Roman"/>
        </w:rPr>
      </w:pPr>
    </w:p>
    <w:p w14:paraId="4F1C2C92" w14:textId="77777777" w:rsidR="00D70D43" w:rsidRPr="00923CCF" w:rsidRDefault="00D70D43" w:rsidP="00D70D43">
      <w:pPr>
        <w:keepNext/>
        <w:jc w:val="both"/>
        <w:rPr>
          <w:rFonts w:cstheme="minorHAnsi"/>
          <w:b/>
          <w:color w:val="000000" w:themeColor="text1"/>
        </w:rPr>
      </w:pPr>
      <w:r w:rsidRPr="00EB1219">
        <w:rPr>
          <w:rFonts w:ascii="Calibri" w:eastAsia="Times New Roman" w:hAnsi="Calibri" w:cs="Calibri"/>
          <w:b/>
          <w:bCs/>
        </w:rPr>
        <w:t>IMPLEMENTATION ARRANGEMENTS</w:t>
      </w:r>
    </w:p>
    <w:p w14:paraId="5CF9DC49" w14:textId="77777777" w:rsidR="00D70D43" w:rsidRDefault="00D70D43" w:rsidP="002E38A2">
      <w:pPr>
        <w:pStyle w:val="ListParagraph"/>
        <w:numPr>
          <w:ilvl w:val="0"/>
          <w:numId w:val="28"/>
        </w:numPr>
        <w:tabs>
          <w:tab w:val="left" w:pos="0"/>
        </w:tabs>
        <w:autoSpaceDE w:val="0"/>
        <w:autoSpaceDN w:val="0"/>
        <w:adjustRightInd w:val="0"/>
        <w:spacing w:after="0"/>
        <w:ind w:left="0" w:hanging="446"/>
        <w:jc w:val="both"/>
        <w:rPr>
          <w:rFonts w:eastAsia="Times New Roman" w:cstheme="minorHAnsi"/>
        </w:rPr>
      </w:pPr>
      <w:r w:rsidRPr="00EB1219">
        <w:rPr>
          <w:rFonts w:eastAsia="Times New Roman" w:cstheme="minorHAnsi"/>
        </w:rPr>
        <w:t xml:space="preserve">The Division de </w:t>
      </w:r>
      <w:proofErr w:type="spellStart"/>
      <w:r w:rsidRPr="00EB1219">
        <w:rPr>
          <w:rFonts w:eastAsia="Times New Roman" w:cstheme="minorHAnsi"/>
        </w:rPr>
        <w:t>l’Environnement</w:t>
      </w:r>
      <w:proofErr w:type="spellEnd"/>
      <w:r w:rsidRPr="00EB1219">
        <w:rPr>
          <w:rFonts w:eastAsia="Times New Roman" w:cstheme="minorHAnsi"/>
        </w:rPr>
        <w:t xml:space="preserve"> et des </w:t>
      </w:r>
      <w:proofErr w:type="spellStart"/>
      <w:r w:rsidRPr="00EB1219">
        <w:rPr>
          <w:rFonts w:eastAsia="Times New Roman" w:cstheme="minorHAnsi"/>
        </w:rPr>
        <w:t>Etablissements</w:t>
      </w:r>
      <w:proofErr w:type="spellEnd"/>
      <w:r w:rsidRPr="00EB1219">
        <w:rPr>
          <w:rFonts w:eastAsia="Times New Roman" w:cstheme="minorHAnsi"/>
        </w:rPr>
        <w:t xml:space="preserve"> </w:t>
      </w:r>
      <w:proofErr w:type="spellStart"/>
      <w:r w:rsidRPr="00EB1219">
        <w:rPr>
          <w:rFonts w:eastAsia="Times New Roman" w:cstheme="minorHAnsi"/>
        </w:rPr>
        <w:t>Classés</w:t>
      </w:r>
      <w:proofErr w:type="spellEnd"/>
      <w:r w:rsidRPr="00EB1219">
        <w:rPr>
          <w:rFonts w:eastAsia="Times New Roman" w:cstheme="minorHAnsi"/>
        </w:rPr>
        <w:t xml:space="preserve"> (DEEC, Environment and Classified Establishments Directorate) under the Ministry of the Environment and Sustainable Development is responsible for implementing Government policy to protect the environment and the population against pollution, nuisances, and hazardous waste, and in the management of environmental requirements and provisions for classified establishments and their surrounding areas.  In this regard, the DEEC will lead project coordination and hosts the Project Coordination Unit.  A Project Coordinator will be recruited and will report to the Director of DEEC.  DEEC will have the overall Fiduciary responsibility.  Component 3 activities will be implemented in close coordination with local municipalities with the help of Facilitating NGOs.</w:t>
      </w:r>
    </w:p>
    <w:p w14:paraId="7884D321" w14:textId="77777777" w:rsidR="00D70D43" w:rsidRPr="00E355E2" w:rsidRDefault="00D70D43" w:rsidP="00D70D43">
      <w:pPr>
        <w:tabs>
          <w:tab w:val="left" w:pos="0"/>
        </w:tabs>
        <w:jc w:val="both"/>
        <w:rPr>
          <w:rFonts w:eastAsia="Times New Roman" w:cstheme="minorHAnsi"/>
        </w:rPr>
      </w:pPr>
    </w:p>
    <w:p w14:paraId="1AA4876F" w14:textId="77777777" w:rsidR="00D70D43" w:rsidRDefault="00D70D43" w:rsidP="002E38A2">
      <w:pPr>
        <w:pStyle w:val="ListParagraph"/>
        <w:numPr>
          <w:ilvl w:val="0"/>
          <w:numId w:val="28"/>
        </w:numPr>
        <w:tabs>
          <w:tab w:val="left" w:pos="0"/>
        </w:tabs>
        <w:autoSpaceDE w:val="0"/>
        <w:autoSpaceDN w:val="0"/>
        <w:adjustRightInd w:val="0"/>
        <w:spacing w:after="0"/>
        <w:ind w:left="0" w:hanging="446"/>
        <w:jc w:val="both"/>
        <w:rPr>
          <w:rFonts w:eastAsia="Times New Roman" w:cstheme="minorHAnsi"/>
        </w:rPr>
      </w:pPr>
      <w:r w:rsidRPr="00EB1219">
        <w:rPr>
          <w:rFonts w:eastAsia="Times New Roman" w:cstheme="minorHAnsi"/>
          <w:b/>
        </w:rPr>
        <w:t xml:space="preserve">National Steering Committee (NSC). </w:t>
      </w:r>
      <w:r w:rsidRPr="00EB1219">
        <w:rPr>
          <w:rFonts w:eastAsia="Times New Roman" w:cstheme="minorHAnsi"/>
        </w:rPr>
        <w:t xml:space="preserve">Policy guidance and overall project oversight and supervision will be provided by the NSC. The NSC will be Chaired by the Secretary General of the Minister of Environment and Sustainable Development or his/her Representative and will comprise representatives involving ministries such as Finance, Local government, and Health. It will also include representatives from </w:t>
      </w:r>
      <w:proofErr w:type="spellStart"/>
      <w:r w:rsidRPr="00EB1219">
        <w:rPr>
          <w:rFonts w:eastAsia="Times New Roman" w:cstheme="minorHAnsi"/>
        </w:rPr>
        <w:t>l’Unité</w:t>
      </w:r>
      <w:proofErr w:type="spellEnd"/>
      <w:r w:rsidRPr="00EB1219">
        <w:rPr>
          <w:rFonts w:eastAsia="Times New Roman" w:cstheme="minorHAnsi"/>
        </w:rPr>
        <w:t xml:space="preserve"> de Coordination et de Gestion des </w:t>
      </w:r>
      <w:proofErr w:type="spellStart"/>
      <w:r w:rsidRPr="00EB1219">
        <w:rPr>
          <w:rFonts w:eastAsia="Times New Roman" w:cstheme="minorHAnsi"/>
        </w:rPr>
        <w:t>Déchets</w:t>
      </w:r>
      <w:proofErr w:type="spellEnd"/>
      <w:r w:rsidRPr="00EB1219">
        <w:rPr>
          <w:rFonts w:eastAsia="Times New Roman" w:cstheme="minorHAnsi"/>
        </w:rPr>
        <w:t xml:space="preserve"> (Coordination Unit for Solid Waste Management), as well as Mayors of Hann Bel Air, </w:t>
      </w:r>
      <w:proofErr w:type="spellStart"/>
      <w:r w:rsidRPr="00EB1219">
        <w:rPr>
          <w:rFonts w:eastAsia="Times New Roman" w:cstheme="minorHAnsi"/>
        </w:rPr>
        <w:t>Dalifort</w:t>
      </w:r>
      <w:proofErr w:type="spellEnd"/>
      <w:r w:rsidRPr="00EB1219">
        <w:rPr>
          <w:rFonts w:eastAsia="Times New Roman" w:cstheme="minorHAnsi"/>
        </w:rPr>
        <w:t>, and other zones in Dakar. Functions of the NSC are to: (i) review progress reports on the implementation of project components to provide overall guidance on policy matters related to the decrease of environmental health risks from the release of UPOPs and other toxic chemicals; and (ii) ensure project activities are included in the annual work plans in order to facilitate the smooth handing over at the end of the project life; as well as (iii) Coordinate with the Regional Project to facilitate knowledge sharing among participating countries. The Director of DEEC will be the secretary to the NSC. The Committee will meet twice a year to facilitate smooth implementation of the project activities.</w:t>
      </w:r>
    </w:p>
    <w:p w14:paraId="34EC7D46" w14:textId="77777777" w:rsidR="00D70D43" w:rsidRPr="00E355E2" w:rsidRDefault="00D70D43" w:rsidP="00D70D43">
      <w:pPr>
        <w:tabs>
          <w:tab w:val="left" w:pos="0"/>
        </w:tabs>
        <w:jc w:val="both"/>
        <w:rPr>
          <w:rFonts w:eastAsia="Times New Roman" w:cstheme="minorHAnsi"/>
        </w:rPr>
      </w:pPr>
    </w:p>
    <w:p w14:paraId="6F8EB900" w14:textId="77777777" w:rsidR="00D70D43" w:rsidRPr="00902492"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eastAsia="Times New Roman" w:cstheme="minorHAnsi"/>
          <w:b/>
        </w:rPr>
        <w:t>Technical Committee (TC).</w:t>
      </w:r>
      <w:r w:rsidRPr="00EB1219">
        <w:rPr>
          <w:rFonts w:eastAsia="Times New Roman" w:cstheme="minorHAnsi"/>
        </w:rPr>
        <w:t xml:space="preserve"> The TC will provide technical guidance for this project. The TC will be comprised of representatives from key project implementers, including representatives from DEEC, Municipalities of Hann Bel Air, </w:t>
      </w:r>
      <w:proofErr w:type="spellStart"/>
      <w:r w:rsidRPr="00EB1219">
        <w:rPr>
          <w:rFonts w:eastAsia="Times New Roman" w:cstheme="minorHAnsi"/>
        </w:rPr>
        <w:t>Dalifort</w:t>
      </w:r>
      <w:proofErr w:type="spellEnd"/>
      <w:r w:rsidRPr="00EB1219">
        <w:rPr>
          <w:rFonts w:eastAsia="Times New Roman" w:cstheme="minorHAnsi"/>
        </w:rPr>
        <w:t>, and other municipalities in Dakar, as appropriate, UCG, National Committee of Chemicals products, ADM (“</w:t>
      </w:r>
      <w:proofErr w:type="spellStart"/>
      <w:r w:rsidRPr="00EB1219">
        <w:rPr>
          <w:rFonts w:eastAsia="Times New Roman" w:cstheme="minorHAnsi"/>
        </w:rPr>
        <w:t>Agence</w:t>
      </w:r>
      <w:proofErr w:type="spellEnd"/>
      <w:r w:rsidRPr="00EB1219">
        <w:rPr>
          <w:rFonts w:eastAsia="Times New Roman" w:cstheme="minorHAnsi"/>
        </w:rPr>
        <w:t xml:space="preserve"> de </w:t>
      </w:r>
      <w:proofErr w:type="spellStart"/>
      <w:r w:rsidRPr="00EB1219">
        <w:rPr>
          <w:rFonts w:eastAsia="Times New Roman" w:cstheme="minorHAnsi"/>
        </w:rPr>
        <w:t>Developpement</w:t>
      </w:r>
      <w:proofErr w:type="spellEnd"/>
      <w:r w:rsidRPr="00EB1219">
        <w:rPr>
          <w:rFonts w:eastAsia="Times New Roman" w:cstheme="minorHAnsi"/>
        </w:rPr>
        <w:t xml:space="preserve"> Municipal”), and NGOs. Members of the TC will also have key project implementation responsibilities and provide technical advice to support decision-making at Steering Committee level.  The Director of</w:t>
      </w:r>
      <w:r w:rsidRPr="00EB1219">
        <w:rPr>
          <w:rFonts w:ascii="Calibri" w:eastAsia="Times New Roman" w:hAnsi="Calibri" w:cs="Calibri"/>
        </w:rPr>
        <w:t xml:space="preserve"> DEEC will be the Chairperson of the TC.  The Committee will meet twice a year prior to the Steering Committee meetings. The functions of the TC are to: a) advise DEEC in conducting its coordination function; b) provide technical guidance and oversight in implementing project activities; c) undertake sectoral and cross-sectoral coordination of project activities; d) ensure project activities are integrated in sector plans and budgets; e) assess and </w:t>
      </w:r>
      <w:r w:rsidRPr="00EB1219">
        <w:rPr>
          <w:rFonts w:ascii="Calibri" w:eastAsia="Times New Roman" w:hAnsi="Calibri" w:cs="Calibri"/>
        </w:rPr>
        <w:lastRenderedPageBreak/>
        <w:t xml:space="preserve">recommend technical expertise needed to implement various project activities; and f) closely follow up activities to ensure compliance with the Stockholm Convention.   </w:t>
      </w:r>
    </w:p>
    <w:p w14:paraId="515C1548" w14:textId="77777777" w:rsidR="00D70D43" w:rsidRPr="00E355E2" w:rsidRDefault="00D70D43" w:rsidP="002E38A2">
      <w:pPr>
        <w:pStyle w:val="ListParagraph"/>
        <w:numPr>
          <w:ilvl w:val="0"/>
          <w:numId w:val="28"/>
        </w:numPr>
        <w:tabs>
          <w:tab w:val="left" w:pos="0"/>
        </w:tabs>
        <w:spacing w:before="120"/>
        <w:ind w:left="0" w:hanging="450"/>
        <w:contextualSpacing w:val="0"/>
        <w:jc w:val="both"/>
        <w:rPr>
          <w:rFonts w:eastAsia="Times New Roman" w:cstheme="minorHAnsi"/>
        </w:rPr>
      </w:pPr>
      <w:r w:rsidRPr="00EB1219">
        <w:rPr>
          <w:rFonts w:ascii="Calibri" w:eastAsia="Times New Roman" w:hAnsi="Calibri" w:cs="Calibri"/>
          <w:b/>
        </w:rPr>
        <w:t>Project coordination.</w:t>
      </w:r>
      <w:r w:rsidRPr="00EB1219">
        <w:rPr>
          <w:rFonts w:ascii="Calibri" w:eastAsia="Times New Roman" w:hAnsi="Calibri" w:cs="Calibri"/>
        </w:rPr>
        <w:t xml:space="preserve"> Project coordination will be under the Secretary General’s Office. At implementation level, the DEEC will serve as the lead coordinating institution, given its demonstrated experience in the coordination of multi-sectoral projects. A Project Coordinator will be recruited and report to the Director of DEEC. The Project Coordinating Unit (PCU) will be responsible for overall coordination and facilitation of the work program of participating countries and provide communication channels between them. Within each implementing institution, a focal person will be appointed to coordinate project activities. </w:t>
      </w:r>
    </w:p>
    <w:p w14:paraId="54A954BB" w14:textId="77777777" w:rsidR="00D70D43" w:rsidRPr="00EB1219" w:rsidRDefault="00D70D43" w:rsidP="002E38A2">
      <w:pPr>
        <w:pStyle w:val="ListParagraph"/>
        <w:numPr>
          <w:ilvl w:val="0"/>
          <w:numId w:val="28"/>
        </w:numPr>
        <w:tabs>
          <w:tab w:val="left" w:pos="0"/>
        </w:tabs>
        <w:spacing w:before="120"/>
        <w:ind w:left="0" w:hanging="450"/>
        <w:jc w:val="both"/>
        <w:rPr>
          <w:rFonts w:eastAsia="Times New Roman" w:cstheme="minorHAnsi"/>
        </w:rPr>
      </w:pPr>
      <w:r w:rsidRPr="00EB1219">
        <w:rPr>
          <w:rFonts w:ascii="Calibri" w:eastAsia="Times New Roman" w:hAnsi="Calibri" w:cs="Calibri"/>
          <w:b/>
        </w:rPr>
        <w:t xml:space="preserve">Project reporting. </w:t>
      </w:r>
      <w:r w:rsidRPr="00EB1219">
        <w:rPr>
          <w:rFonts w:ascii="Calibri" w:eastAsia="Times New Roman" w:hAnsi="Calibri" w:cs="Calibri"/>
        </w:rPr>
        <w:t>All implementers are required to submit quarterly reports to the Project Focal Person at DEEC outlining the following: i) Type of activity undertaken; ii) Expected outputs; iii) Timeline of activities; iv) Allocated budget; and v) Actual expenditure. The Focal Person will prepare a report at the end of each quarter to highlight achievements and challenges faced and future activities required to achieve the stated objectives. These reports will be presented and discussed at bi-annual review meetings.</w:t>
      </w:r>
    </w:p>
    <w:p w14:paraId="7F246126" w14:textId="77777777" w:rsidR="00D70D43" w:rsidRPr="00C52415" w:rsidRDefault="00D70D43" w:rsidP="00D70D43">
      <w:pPr>
        <w:rPr>
          <w:rFonts w:ascii="Calibri" w:eastAsia="Times New Roman" w:hAnsi="Calibri" w:cs="Calibri"/>
          <w:b/>
        </w:rPr>
      </w:pPr>
    </w:p>
    <w:p w14:paraId="31AFD921" w14:textId="77777777" w:rsidR="00D70D43" w:rsidRDefault="00D70D43" w:rsidP="00D70D43">
      <w:pPr>
        <w:tabs>
          <w:tab w:val="left" w:pos="0"/>
        </w:tabs>
        <w:spacing w:before="120"/>
        <w:contextualSpacing/>
        <w:jc w:val="both"/>
        <w:rPr>
          <w:rFonts w:ascii="Calibri" w:eastAsia="Times New Roman" w:hAnsi="Calibri" w:cs="Calibri"/>
          <w:b/>
        </w:rPr>
      </w:pPr>
      <w:r w:rsidRPr="00C52415">
        <w:rPr>
          <w:rFonts w:ascii="Calibri" w:eastAsia="Times New Roman" w:hAnsi="Calibri" w:cs="Calibri"/>
          <w:b/>
        </w:rPr>
        <w:t>Financial Management</w:t>
      </w:r>
    </w:p>
    <w:p w14:paraId="4229973D" w14:textId="77777777" w:rsidR="00D70D43" w:rsidRPr="008B264D" w:rsidRDefault="00D70D43" w:rsidP="002E38A2">
      <w:pPr>
        <w:pStyle w:val="ListParagraph"/>
        <w:numPr>
          <w:ilvl w:val="0"/>
          <w:numId w:val="28"/>
        </w:numPr>
        <w:tabs>
          <w:tab w:val="left" w:pos="0"/>
        </w:tabs>
        <w:autoSpaceDE w:val="0"/>
        <w:autoSpaceDN w:val="0"/>
        <w:adjustRightInd w:val="0"/>
        <w:spacing w:after="0"/>
        <w:ind w:left="0" w:hanging="446"/>
        <w:jc w:val="both"/>
        <w:rPr>
          <w:rFonts w:eastAsia="Times New Roman" w:cstheme="minorHAnsi"/>
        </w:rPr>
      </w:pPr>
      <w:r w:rsidRPr="00DB142C">
        <w:rPr>
          <w:rFonts w:cs="Times New Roman"/>
        </w:rPr>
        <w:t xml:space="preserve">The main implementing agency will be the Division de </w:t>
      </w:r>
      <w:proofErr w:type="spellStart"/>
      <w:r w:rsidRPr="00DB142C">
        <w:rPr>
          <w:rFonts w:cs="Times New Roman"/>
        </w:rPr>
        <w:t>l’Environnement</w:t>
      </w:r>
      <w:proofErr w:type="spellEnd"/>
      <w:r w:rsidRPr="00DB142C">
        <w:rPr>
          <w:rFonts w:cs="Times New Roman"/>
        </w:rPr>
        <w:t xml:space="preserve"> et des </w:t>
      </w:r>
      <w:proofErr w:type="spellStart"/>
      <w:r w:rsidRPr="00DB142C">
        <w:rPr>
          <w:rFonts w:cs="Times New Roman"/>
        </w:rPr>
        <w:t>Etablissements</w:t>
      </w:r>
      <w:proofErr w:type="spellEnd"/>
      <w:r w:rsidRPr="00DB142C">
        <w:rPr>
          <w:rFonts w:cs="Times New Roman"/>
        </w:rPr>
        <w:t xml:space="preserve"> </w:t>
      </w:r>
      <w:proofErr w:type="spellStart"/>
      <w:r w:rsidRPr="00DB142C">
        <w:rPr>
          <w:rFonts w:cs="Times New Roman"/>
        </w:rPr>
        <w:t>Classés</w:t>
      </w:r>
      <w:proofErr w:type="spellEnd"/>
      <w:r w:rsidRPr="00DB142C">
        <w:rPr>
          <w:rFonts w:cs="Times New Roman"/>
        </w:rPr>
        <w:t xml:space="preserve"> (DEEC, Environment and Classified Establishments Directorate) under the Ministry of </w:t>
      </w:r>
      <w:r w:rsidRPr="00DB142C">
        <w:rPr>
          <w:rFonts w:eastAsia="Times New Roman" w:cs="Calibri"/>
        </w:rPr>
        <w:t>the Environment and Sustainable Development</w:t>
      </w:r>
      <w:r w:rsidRPr="00DB142C">
        <w:rPr>
          <w:rFonts w:cs="Times New Roman"/>
        </w:rPr>
        <w:t xml:space="preserve">.  The DEEC will have the financial management responsibility for the grant.  </w:t>
      </w:r>
      <w:r w:rsidRPr="00DB142C">
        <w:rPr>
          <w:rFonts w:eastAsia="Times New Roman" w:cs="Calibri"/>
        </w:rPr>
        <w:t xml:space="preserve">DEEC is already </w:t>
      </w:r>
      <w:r w:rsidRPr="008B264D">
        <w:rPr>
          <w:rFonts w:eastAsia="Times New Roman" w:cs="Calibri"/>
        </w:rPr>
        <w:t>implementing the Senegal-West Africa Coastal Areas Resilience Investment Program (WACA P162337), an ongoing Bank-financed project.</w:t>
      </w:r>
    </w:p>
    <w:p w14:paraId="509BC73E" w14:textId="77777777" w:rsidR="00D70D43" w:rsidRPr="008B264D" w:rsidRDefault="00D70D43" w:rsidP="00D70D43">
      <w:pPr>
        <w:tabs>
          <w:tab w:val="left" w:pos="0"/>
        </w:tabs>
        <w:jc w:val="both"/>
        <w:rPr>
          <w:rFonts w:eastAsia="Times New Roman" w:cstheme="minorHAnsi"/>
        </w:rPr>
      </w:pPr>
    </w:p>
    <w:p w14:paraId="03376553" w14:textId="77777777" w:rsidR="00D70D43" w:rsidRPr="008B264D" w:rsidRDefault="00D70D43" w:rsidP="002E38A2">
      <w:pPr>
        <w:pStyle w:val="ListParagraph"/>
        <w:widowControl w:val="0"/>
        <w:numPr>
          <w:ilvl w:val="0"/>
          <w:numId w:val="28"/>
        </w:numPr>
        <w:autoSpaceDE w:val="0"/>
        <w:autoSpaceDN w:val="0"/>
        <w:adjustRightInd w:val="0"/>
        <w:spacing w:after="0" w:line="240" w:lineRule="auto"/>
        <w:ind w:left="0" w:hanging="450"/>
        <w:jc w:val="both"/>
        <w:rPr>
          <w:rFonts w:cstheme="minorHAnsi"/>
        </w:rPr>
      </w:pPr>
      <w:r w:rsidRPr="008B264D">
        <w:rPr>
          <w:rFonts w:eastAsia="Batang" w:cstheme="minorHAnsi"/>
          <w:lang w:eastAsia="ko-KR"/>
        </w:rPr>
        <w:t xml:space="preserve">The FM assessments was carried out in accordance with the Financial Management Manual issued by the FM Sector Board on March 1, 2010 and retrofitted on February 4, 2015.  The objective of the assessment was to determine whether the implementing agencies have acceptable financial management arrangements in place.  These arrangements would ensure that the implementing entities: (i) use Project funds only for the intended purposes in an efficient and economical way; (ii) prepare accurate and reliable accounts as well as timely periodic financial reports; (iii) safeguard assets of the Project; and (iv) have acceptable auditing arrangements. </w:t>
      </w:r>
    </w:p>
    <w:p w14:paraId="7F36E5C8" w14:textId="77777777" w:rsidR="00D70D43" w:rsidRPr="008B264D" w:rsidRDefault="00D70D43" w:rsidP="00D70D43">
      <w:pPr>
        <w:jc w:val="both"/>
        <w:rPr>
          <w:rFonts w:cstheme="minorHAnsi"/>
        </w:rPr>
      </w:pPr>
    </w:p>
    <w:p w14:paraId="781A388B" w14:textId="77777777" w:rsidR="00D70D43" w:rsidRPr="0037791D" w:rsidRDefault="00D70D43" w:rsidP="002E38A2">
      <w:pPr>
        <w:pStyle w:val="ListParagraph"/>
        <w:widowControl w:val="0"/>
        <w:numPr>
          <w:ilvl w:val="0"/>
          <w:numId w:val="28"/>
        </w:numPr>
        <w:tabs>
          <w:tab w:val="left" w:pos="270"/>
        </w:tabs>
        <w:autoSpaceDE w:val="0"/>
        <w:autoSpaceDN w:val="0"/>
        <w:adjustRightInd w:val="0"/>
        <w:spacing w:after="0" w:line="240" w:lineRule="auto"/>
        <w:ind w:left="0" w:hanging="450"/>
        <w:jc w:val="both"/>
        <w:rPr>
          <w:rFonts w:eastAsia="Calibri" w:cs="Times New Roman"/>
        </w:rPr>
      </w:pPr>
      <w:r w:rsidRPr="008B264D">
        <w:rPr>
          <w:rFonts w:cs="Times New Roman"/>
        </w:rPr>
        <w:t xml:space="preserve">The DEEC has experience in implementing IDA-financed projects.  The Financial Management system in place will be reinforced and used for the present grant activities.  The existing administrative and financial manual of procedures is adequate; however, it will be updated to include an annex for this new </w:t>
      </w:r>
      <w:r>
        <w:rPr>
          <w:rFonts w:cs="Times New Roman"/>
        </w:rPr>
        <w:t>P</w:t>
      </w:r>
      <w:r w:rsidRPr="008B264D">
        <w:rPr>
          <w:rFonts w:cs="Times New Roman"/>
        </w:rPr>
        <w:t xml:space="preserve">roject’s activities.  The accounting system in place is adequate and will be customized to allow for a separate accounting ledger for this new </w:t>
      </w:r>
      <w:r>
        <w:rPr>
          <w:rFonts w:cs="Times New Roman"/>
        </w:rPr>
        <w:t>P</w:t>
      </w:r>
      <w:r w:rsidRPr="008B264D">
        <w:rPr>
          <w:rFonts w:cs="Times New Roman"/>
        </w:rPr>
        <w:t xml:space="preserve">roject’s activities.  However, the current FM team, which consists of a Financial Director and one Accountant, will be strengthened by recruiting another qualified accountant.  In addition, the </w:t>
      </w:r>
      <w:r w:rsidRPr="0037791D">
        <w:rPr>
          <w:rFonts w:cs="Times New Roman"/>
        </w:rPr>
        <w:t>Internal Inspection (II) in charge of the internal control is not yet fully strengthened in order to undertake appropriate internal control activities.  The II reinforcement’ action plan has not been implemented yet.</w:t>
      </w:r>
      <w:r w:rsidRPr="0037791D">
        <w:rPr>
          <w:rFonts w:eastAsia="Calibri" w:cs="Times New Roman"/>
        </w:rPr>
        <w:t xml:space="preserve">  As a result of the assessment, the DEEC will be required</w:t>
      </w:r>
      <w:r>
        <w:rPr>
          <w:rFonts w:eastAsia="Calibri" w:cs="Times New Roman"/>
        </w:rPr>
        <w:t xml:space="preserve">, </w:t>
      </w:r>
      <w:r w:rsidRPr="0037791D">
        <w:rPr>
          <w:rFonts w:eastAsia="Calibri" w:cs="Times New Roman"/>
        </w:rPr>
        <w:t xml:space="preserve">no later than </w:t>
      </w:r>
      <w:r>
        <w:rPr>
          <w:rFonts w:eastAsia="Calibri" w:cs="Times New Roman"/>
        </w:rPr>
        <w:t xml:space="preserve">four (4) </w:t>
      </w:r>
      <w:r w:rsidRPr="0037791D">
        <w:rPr>
          <w:rFonts w:eastAsia="Calibri" w:cs="Times New Roman"/>
        </w:rPr>
        <w:t xml:space="preserve">months after </w:t>
      </w:r>
      <w:r>
        <w:rPr>
          <w:rFonts w:eastAsia="Calibri" w:cs="Times New Roman"/>
        </w:rPr>
        <w:t>E</w:t>
      </w:r>
      <w:r w:rsidRPr="0037791D">
        <w:rPr>
          <w:rFonts w:eastAsia="Calibri" w:cs="Times New Roman"/>
        </w:rPr>
        <w:t>ffectiveness</w:t>
      </w:r>
      <w:r>
        <w:rPr>
          <w:rFonts w:eastAsia="Calibri" w:cs="Times New Roman"/>
        </w:rPr>
        <w:t>, to</w:t>
      </w:r>
      <w:r w:rsidRPr="0037791D">
        <w:rPr>
          <w:rFonts w:eastAsia="Calibri" w:cs="Times New Roman"/>
        </w:rPr>
        <w:t xml:space="preserve">: </w:t>
      </w:r>
    </w:p>
    <w:p w14:paraId="20F82C40" w14:textId="77777777" w:rsidR="00D70D43" w:rsidRPr="0037791D" w:rsidRDefault="00D70D43" w:rsidP="002E38A2">
      <w:pPr>
        <w:pStyle w:val="ListParagraph"/>
        <w:numPr>
          <w:ilvl w:val="0"/>
          <w:numId w:val="29"/>
        </w:numPr>
        <w:tabs>
          <w:tab w:val="left" w:pos="270"/>
        </w:tabs>
        <w:autoSpaceDE w:val="0"/>
        <w:autoSpaceDN w:val="0"/>
        <w:adjustRightInd w:val="0"/>
        <w:spacing w:after="0" w:line="240" w:lineRule="auto"/>
        <w:ind w:left="360"/>
        <w:jc w:val="both"/>
        <w:rPr>
          <w:rFonts w:eastAsia="Calibri" w:cs="Times New Roman"/>
        </w:rPr>
      </w:pPr>
      <w:r w:rsidRPr="0037791D">
        <w:rPr>
          <w:rFonts w:eastAsia="Calibri" w:cs="Times New Roman"/>
        </w:rPr>
        <w:lastRenderedPageBreak/>
        <w:t>Recruit an accountant with experience and qualification satisfactory to the Association;</w:t>
      </w:r>
    </w:p>
    <w:p w14:paraId="6BC6618C" w14:textId="77777777" w:rsidR="00D70D43" w:rsidRPr="0037791D" w:rsidRDefault="00D70D43" w:rsidP="002E38A2">
      <w:pPr>
        <w:pStyle w:val="ListParagraph"/>
        <w:numPr>
          <w:ilvl w:val="0"/>
          <w:numId w:val="29"/>
        </w:numPr>
        <w:tabs>
          <w:tab w:val="left" w:pos="270"/>
        </w:tabs>
        <w:autoSpaceDE w:val="0"/>
        <w:autoSpaceDN w:val="0"/>
        <w:adjustRightInd w:val="0"/>
        <w:spacing w:after="0" w:line="240" w:lineRule="auto"/>
        <w:ind w:left="360"/>
        <w:jc w:val="both"/>
        <w:rPr>
          <w:rFonts w:cs="Times New Roman"/>
        </w:rPr>
      </w:pPr>
      <w:r w:rsidRPr="0037791D">
        <w:rPr>
          <w:rFonts w:eastAsia="Calibri" w:cs="Times New Roman"/>
        </w:rPr>
        <w:t>Implement the internal inspection reinforcement’ action plan;</w:t>
      </w:r>
    </w:p>
    <w:p w14:paraId="349930F2" w14:textId="77777777" w:rsidR="00D70D43" w:rsidRPr="0037791D" w:rsidRDefault="00D70D43" w:rsidP="002E38A2">
      <w:pPr>
        <w:pStyle w:val="ListParagraph"/>
        <w:numPr>
          <w:ilvl w:val="0"/>
          <w:numId w:val="29"/>
        </w:numPr>
        <w:tabs>
          <w:tab w:val="left" w:pos="270"/>
        </w:tabs>
        <w:autoSpaceDE w:val="0"/>
        <w:autoSpaceDN w:val="0"/>
        <w:adjustRightInd w:val="0"/>
        <w:spacing w:after="0" w:line="240" w:lineRule="auto"/>
        <w:ind w:left="270" w:hanging="270"/>
        <w:jc w:val="both"/>
        <w:rPr>
          <w:rFonts w:cs="Times New Roman"/>
        </w:rPr>
      </w:pPr>
      <w:r>
        <w:rPr>
          <w:rFonts w:eastAsia="Calibri" w:cs="Times New Roman"/>
        </w:rPr>
        <w:t>U</w:t>
      </w:r>
      <w:r w:rsidRPr="0037791D">
        <w:rPr>
          <w:rFonts w:eastAsia="Calibri" w:cs="Times New Roman"/>
        </w:rPr>
        <w:t xml:space="preserve">pdate the existing project financial and administrative manual in order to include this new </w:t>
      </w:r>
      <w:r>
        <w:rPr>
          <w:rFonts w:eastAsia="Calibri" w:cs="Times New Roman"/>
        </w:rPr>
        <w:t>P</w:t>
      </w:r>
      <w:r w:rsidRPr="0037791D">
        <w:rPr>
          <w:rFonts w:eastAsia="Calibri" w:cs="Times New Roman"/>
        </w:rPr>
        <w:t>roject specifications</w:t>
      </w:r>
      <w:r w:rsidRPr="0037791D">
        <w:rPr>
          <w:rFonts w:cs="Times New Roman"/>
        </w:rPr>
        <w:t>;</w:t>
      </w:r>
    </w:p>
    <w:p w14:paraId="73F77BC4" w14:textId="77777777" w:rsidR="00D70D43" w:rsidRDefault="00D70D43" w:rsidP="002E38A2">
      <w:pPr>
        <w:pStyle w:val="ListParagraph"/>
        <w:widowControl w:val="0"/>
        <w:numPr>
          <w:ilvl w:val="0"/>
          <w:numId w:val="29"/>
        </w:numPr>
        <w:tabs>
          <w:tab w:val="left" w:pos="270"/>
        </w:tabs>
        <w:autoSpaceDE w:val="0"/>
        <w:autoSpaceDN w:val="0"/>
        <w:adjustRightInd w:val="0"/>
        <w:spacing w:after="0" w:line="240" w:lineRule="auto"/>
        <w:ind w:left="360"/>
        <w:jc w:val="both"/>
        <w:rPr>
          <w:rFonts w:eastAsia="Calibri" w:cs="Times New Roman"/>
        </w:rPr>
      </w:pPr>
      <w:r w:rsidRPr="00AE2224">
        <w:rPr>
          <w:rFonts w:eastAsia="Calibri" w:cs="Times New Roman"/>
        </w:rPr>
        <w:t xml:space="preserve">Recruit an external auditor with qualification and experience satisfactory to the </w:t>
      </w:r>
      <w:r>
        <w:rPr>
          <w:rFonts w:eastAsia="Calibri" w:cs="Times New Roman"/>
        </w:rPr>
        <w:t>B</w:t>
      </w:r>
      <w:r w:rsidRPr="00AE2224">
        <w:rPr>
          <w:rFonts w:eastAsia="Calibri" w:cs="Times New Roman"/>
        </w:rPr>
        <w:t>ank.</w:t>
      </w:r>
    </w:p>
    <w:p w14:paraId="785415D2" w14:textId="77777777" w:rsidR="00D70D43" w:rsidRPr="00AE2224" w:rsidRDefault="00D70D43" w:rsidP="00D70D43">
      <w:pPr>
        <w:tabs>
          <w:tab w:val="left" w:pos="270"/>
        </w:tabs>
        <w:jc w:val="both"/>
        <w:rPr>
          <w:rFonts w:eastAsia="Calibri" w:cs="Times New Roman"/>
        </w:rPr>
      </w:pPr>
    </w:p>
    <w:p w14:paraId="4CD610CD" w14:textId="77777777" w:rsidR="00D70D43" w:rsidRPr="00AE2224" w:rsidRDefault="00D70D43" w:rsidP="002E38A2">
      <w:pPr>
        <w:pStyle w:val="ListParagraph"/>
        <w:widowControl w:val="0"/>
        <w:numPr>
          <w:ilvl w:val="0"/>
          <w:numId w:val="28"/>
        </w:numPr>
        <w:autoSpaceDE w:val="0"/>
        <w:autoSpaceDN w:val="0"/>
        <w:adjustRightInd w:val="0"/>
        <w:spacing w:after="0" w:line="240" w:lineRule="auto"/>
        <w:ind w:left="0" w:hanging="450"/>
        <w:jc w:val="both"/>
        <w:rPr>
          <w:rFonts w:cstheme="minorHAnsi"/>
        </w:rPr>
      </w:pPr>
      <w:r w:rsidRPr="0037791D">
        <w:rPr>
          <w:rFonts w:eastAsia="Calibri" w:cs="Times New Roman"/>
          <w:spacing w:val="-1"/>
          <w:u w:val="single"/>
        </w:rPr>
        <w:t>Conclusion of the FM assessment</w:t>
      </w:r>
      <w:r w:rsidRPr="0037791D">
        <w:rPr>
          <w:rFonts w:eastAsia="Calibri" w:cs="Times New Roman"/>
          <w:spacing w:val="-1"/>
        </w:rPr>
        <w:t xml:space="preserve">: </w:t>
      </w:r>
      <w:r w:rsidRPr="0037791D">
        <w:rPr>
          <w:rFonts w:eastAsia="Calibri" w:cs="Times New Roman"/>
        </w:rPr>
        <w:t xml:space="preserve">The conclusion of the assessment is that the financial management arrangements in </w:t>
      </w:r>
      <w:r w:rsidRPr="0037791D">
        <w:rPr>
          <w:rFonts w:eastAsia="Times New Roman" w:cs="Times New Roman"/>
        </w:rPr>
        <w:t xml:space="preserve">DEEC </w:t>
      </w:r>
      <w:r w:rsidRPr="0037791D">
        <w:rPr>
          <w:rFonts w:eastAsia="Calibri" w:cs="Times New Roman"/>
        </w:rPr>
        <w:t xml:space="preserve">are adequate and </w:t>
      </w:r>
      <w:r w:rsidRPr="0037791D">
        <w:rPr>
          <w:rFonts w:cs="Times New Roman"/>
          <w:bdr w:val="nil"/>
          <w:lang w:val="en-GB"/>
        </w:rPr>
        <w:t>satisfy the Bank’s minimum requirements under Bank Policy and Directive on Investment Project Financing (IPF) effective in 2017</w:t>
      </w:r>
      <w:r w:rsidRPr="0037791D">
        <w:rPr>
          <w:rFonts w:eastAsia="Calibri" w:cs="Times New Roman"/>
        </w:rPr>
        <w:t xml:space="preserve">.  The overall risk for the project is rated </w:t>
      </w:r>
      <w:r w:rsidRPr="0037791D">
        <w:rPr>
          <w:rFonts w:eastAsia="Calibri" w:cs="Times New Roman"/>
          <w:i/>
        </w:rPr>
        <w:t>Moderate</w:t>
      </w:r>
      <w:r w:rsidRPr="0037791D">
        <w:rPr>
          <w:rFonts w:eastAsia="Calibri" w:cs="Times New Roman"/>
        </w:rPr>
        <w:t xml:space="preserve">.  </w:t>
      </w:r>
      <w:r w:rsidRPr="0037791D">
        <w:rPr>
          <w:rFonts w:eastAsia="Calibri" w:cs="Times New Roman"/>
          <w:spacing w:val="-1"/>
        </w:rPr>
        <w:t>A financial management action plan including proposed mitigation measures will be put in place focusing on action</w:t>
      </w:r>
      <w:r>
        <w:rPr>
          <w:rFonts w:eastAsia="Calibri" w:cs="Times New Roman"/>
          <w:spacing w:val="-1"/>
        </w:rPr>
        <w:t>s</w:t>
      </w:r>
      <w:r w:rsidRPr="0037791D">
        <w:rPr>
          <w:rFonts w:eastAsia="Calibri" w:cs="Times New Roman"/>
          <w:spacing w:val="-1"/>
        </w:rPr>
        <w:t xml:space="preserve"> listed abov</w:t>
      </w:r>
      <w:r>
        <w:rPr>
          <w:rFonts w:eastAsia="Calibri" w:cs="Times New Roman"/>
          <w:spacing w:val="-1"/>
        </w:rPr>
        <w:t>e.</w:t>
      </w:r>
    </w:p>
    <w:p w14:paraId="3DDD7B5C" w14:textId="77777777" w:rsidR="00D70D43" w:rsidRPr="00AE2224" w:rsidRDefault="00D70D43" w:rsidP="00D70D43">
      <w:pPr>
        <w:jc w:val="center"/>
        <w:rPr>
          <w:rFonts w:eastAsia="Times New Roman" w:cs="Times New Roman"/>
          <w:b/>
        </w:rPr>
      </w:pPr>
      <w:r w:rsidRPr="00AE2224">
        <w:rPr>
          <w:rFonts w:eastAsia="Times New Roman" w:cs="Times New Roman"/>
          <w:b/>
        </w:rPr>
        <w:t>Financial Management Action Plan</w:t>
      </w:r>
    </w:p>
    <w:tbl>
      <w:tblPr>
        <w:tblpPr w:leftFromText="180" w:rightFromText="180" w:vertAnchor="text" w:horzAnchor="margin" w:tblpY="6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
        <w:gridCol w:w="4166"/>
        <w:gridCol w:w="2347"/>
        <w:gridCol w:w="2356"/>
      </w:tblGrid>
      <w:tr w:rsidR="00D70D43" w:rsidRPr="00AE2224" w14:paraId="1E588BD2" w14:textId="77777777" w:rsidTr="007463F5">
        <w:trPr>
          <w:tblHeader/>
        </w:trPr>
        <w:tc>
          <w:tcPr>
            <w:tcW w:w="481" w:type="dxa"/>
            <w:shd w:val="clear" w:color="auto" w:fill="000000" w:themeFill="text1"/>
          </w:tcPr>
          <w:p w14:paraId="74D23D6E"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 xml:space="preserve">  </w:t>
            </w:r>
          </w:p>
        </w:tc>
        <w:tc>
          <w:tcPr>
            <w:tcW w:w="4166" w:type="dxa"/>
            <w:shd w:val="clear" w:color="auto" w:fill="000000" w:themeFill="text1"/>
          </w:tcPr>
          <w:p w14:paraId="408B89F7"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Action</w:t>
            </w:r>
          </w:p>
        </w:tc>
        <w:tc>
          <w:tcPr>
            <w:tcW w:w="2347" w:type="dxa"/>
            <w:shd w:val="clear" w:color="auto" w:fill="000000" w:themeFill="text1"/>
          </w:tcPr>
          <w:p w14:paraId="44389CE0"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Date due by</w:t>
            </w:r>
          </w:p>
        </w:tc>
        <w:tc>
          <w:tcPr>
            <w:tcW w:w="2356" w:type="dxa"/>
            <w:shd w:val="clear" w:color="auto" w:fill="000000" w:themeFill="text1"/>
          </w:tcPr>
          <w:p w14:paraId="4AE7168A" w14:textId="77777777" w:rsidR="00D70D43" w:rsidRPr="00873666" w:rsidRDefault="00D70D43" w:rsidP="007463F5">
            <w:pPr>
              <w:jc w:val="both"/>
              <w:rPr>
                <w:rFonts w:eastAsia="Times New Roman" w:cs="Times New Roman"/>
                <w:b/>
                <w:color w:val="FFFFFF" w:themeColor="background1"/>
              </w:rPr>
            </w:pPr>
            <w:r w:rsidRPr="00873666">
              <w:rPr>
                <w:rFonts w:eastAsia="Times New Roman" w:cs="Times New Roman"/>
                <w:b/>
                <w:color w:val="FFFFFF" w:themeColor="background1"/>
              </w:rPr>
              <w:t>Responsible</w:t>
            </w:r>
          </w:p>
        </w:tc>
      </w:tr>
      <w:tr w:rsidR="00D70D43" w:rsidRPr="00AE2224" w14:paraId="4F1EFAF8" w14:textId="77777777" w:rsidTr="007463F5">
        <w:tc>
          <w:tcPr>
            <w:tcW w:w="481" w:type="dxa"/>
          </w:tcPr>
          <w:p w14:paraId="45F8A90B" w14:textId="77777777" w:rsidR="00D70D43" w:rsidRPr="00AE2224" w:rsidRDefault="00D70D43" w:rsidP="007463F5">
            <w:pPr>
              <w:rPr>
                <w:rFonts w:eastAsia="Times New Roman" w:cs="Times New Roman"/>
              </w:rPr>
            </w:pPr>
            <w:r w:rsidRPr="00AE2224">
              <w:rPr>
                <w:rFonts w:eastAsia="Times New Roman" w:cs="Times New Roman"/>
              </w:rPr>
              <w:t>1</w:t>
            </w:r>
          </w:p>
        </w:tc>
        <w:tc>
          <w:tcPr>
            <w:tcW w:w="4166" w:type="dxa"/>
          </w:tcPr>
          <w:p w14:paraId="6F79D5D9" w14:textId="77777777" w:rsidR="00D70D43" w:rsidRPr="00AE2224" w:rsidRDefault="00D70D43" w:rsidP="007463F5">
            <w:pPr>
              <w:tabs>
                <w:tab w:val="left" w:pos="252"/>
              </w:tabs>
              <w:rPr>
                <w:rFonts w:eastAsia="Times New Roman" w:cs="Times New Roman"/>
              </w:rPr>
            </w:pPr>
            <w:r w:rsidRPr="00AE2224">
              <w:rPr>
                <w:rFonts w:eastAsia="Times New Roman" w:cs="Times New Roman"/>
              </w:rPr>
              <w:t>Prepare and agree with the Bank on the format of the IFRs.</w:t>
            </w:r>
          </w:p>
        </w:tc>
        <w:tc>
          <w:tcPr>
            <w:tcW w:w="2347" w:type="dxa"/>
          </w:tcPr>
          <w:p w14:paraId="300DD148" w14:textId="77777777" w:rsidR="00D70D43" w:rsidRPr="00AE2224" w:rsidRDefault="00D70D43" w:rsidP="007463F5">
            <w:pPr>
              <w:rPr>
                <w:rFonts w:eastAsia="Times New Roman" w:cs="Times New Roman"/>
              </w:rPr>
            </w:pPr>
            <w:r w:rsidRPr="00AE2224">
              <w:rPr>
                <w:rFonts w:eastAsia="Times New Roman" w:cs="Times New Roman"/>
              </w:rPr>
              <w:t xml:space="preserve">By </w:t>
            </w:r>
            <w:r>
              <w:rPr>
                <w:rFonts w:eastAsia="Times New Roman" w:cs="Times New Roman"/>
              </w:rPr>
              <w:t>N</w:t>
            </w:r>
            <w:r w:rsidRPr="00AE2224">
              <w:rPr>
                <w:rFonts w:eastAsia="Times New Roman" w:cs="Times New Roman"/>
              </w:rPr>
              <w:t>egotiations</w:t>
            </w:r>
          </w:p>
        </w:tc>
        <w:tc>
          <w:tcPr>
            <w:tcW w:w="2356" w:type="dxa"/>
          </w:tcPr>
          <w:p w14:paraId="1D227CEB" w14:textId="77777777" w:rsidR="00D70D43" w:rsidRPr="00AE2224" w:rsidRDefault="00D70D43" w:rsidP="007463F5">
            <w:pPr>
              <w:rPr>
                <w:rFonts w:eastAsia="Times New Roman" w:cs="Times New Roman"/>
              </w:rPr>
            </w:pPr>
            <w:r w:rsidRPr="00AE2224">
              <w:rPr>
                <w:rFonts w:eastAsia="Times New Roman" w:cs="Times New Roman"/>
              </w:rPr>
              <w:t>DEEC</w:t>
            </w:r>
          </w:p>
        </w:tc>
      </w:tr>
      <w:tr w:rsidR="00D70D43" w:rsidRPr="00AE2224" w14:paraId="2BD25126" w14:textId="77777777" w:rsidTr="007463F5">
        <w:tc>
          <w:tcPr>
            <w:tcW w:w="481" w:type="dxa"/>
          </w:tcPr>
          <w:p w14:paraId="728ECD63" w14:textId="77777777" w:rsidR="00D70D43" w:rsidRPr="00AE2224" w:rsidRDefault="00D70D43" w:rsidP="007463F5">
            <w:pPr>
              <w:rPr>
                <w:rFonts w:eastAsia="Times New Roman" w:cs="Times New Roman"/>
              </w:rPr>
            </w:pPr>
            <w:r w:rsidRPr="00AE2224">
              <w:rPr>
                <w:rFonts w:eastAsia="Times New Roman" w:cs="Times New Roman"/>
              </w:rPr>
              <w:t>2</w:t>
            </w:r>
          </w:p>
        </w:tc>
        <w:tc>
          <w:tcPr>
            <w:tcW w:w="4166" w:type="dxa"/>
          </w:tcPr>
          <w:p w14:paraId="6B6A523D" w14:textId="77777777" w:rsidR="00D70D43" w:rsidRPr="00AE2224" w:rsidRDefault="00D70D43" w:rsidP="002E38A2">
            <w:pPr>
              <w:pStyle w:val="ListParagraph"/>
              <w:numPr>
                <w:ilvl w:val="0"/>
                <w:numId w:val="9"/>
              </w:numPr>
              <w:spacing w:after="0" w:line="240" w:lineRule="auto"/>
              <w:jc w:val="both"/>
              <w:rPr>
                <w:rFonts w:eastAsia="Times New Roman" w:cs="Times New Roman"/>
              </w:rPr>
            </w:pPr>
            <w:r w:rsidRPr="00AE2224">
              <w:rPr>
                <w:rFonts w:eastAsia="Times New Roman" w:cs="Times New Roman"/>
              </w:rPr>
              <w:t xml:space="preserve">Develop the annex project manual </w:t>
            </w:r>
          </w:p>
          <w:p w14:paraId="68E1D0FD" w14:textId="77777777" w:rsidR="00D70D43" w:rsidRPr="00AE2224" w:rsidRDefault="00D70D43" w:rsidP="002E38A2">
            <w:pPr>
              <w:pStyle w:val="ListParagraph"/>
              <w:numPr>
                <w:ilvl w:val="0"/>
                <w:numId w:val="9"/>
              </w:numPr>
              <w:spacing w:after="0" w:line="240" w:lineRule="auto"/>
              <w:jc w:val="both"/>
              <w:rPr>
                <w:rFonts w:eastAsia="Times New Roman" w:cs="Times New Roman"/>
              </w:rPr>
            </w:pPr>
            <w:r w:rsidRPr="00AE2224">
              <w:rPr>
                <w:rFonts w:eastAsia="Times New Roman" w:cs="Times New Roman"/>
              </w:rPr>
              <w:t>Implement the internal inspection reinforcement’ action plan</w:t>
            </w:r>
          </w:p>
          <w:p w14:paraId="3A1B6A3A" w14:textId="77777777" w:rsidR="00D70D43" w:rsidRPr="00AE2224" w:rsidRDefault="00D70D43" w:rsidP="002E38A2">
            <w:pPr>
              <w:pStyle w:val="ListParagraph"/>
              <w:numPr>
                <w:ilvl w:val="0"/>
                <w:numId w:val="9"/>
              </w:numPr>
              <w:spacing w:after="0" w:line="240" w:lineRule="auto"/>
              <w:jc w:val="both"/>
              <w:rPr>
                <w:rFonts w:eastAsia="Times New Roman" w:cs="Times New Roman"/>
              </w:rPr>
            </w:pPr>
            <w:r w:rsidRPr="00AE2224">
              <w:rPr>
                <w:rFonts w:eastAsia="Times New Roman" w:cs="Times New Roman"/>
              </w:rPr>
              <w:t>Recruitment of an accountant officer with experience and qualification satisfactory to the Association</w:t>
            </w:r>
          </w:p>
        </w:tc>
        <w:tc>
          <w:tcPr>
            <w:tcW w:w="2347" w:type="dxa"/>
          </w:tcPr>
          <w:p w14:paraId="48C717A0" w14:textId="77777777" w:rsidR="00D70D43" w:rsidRPr="00AE2224" w:rsidRDefault="00D70D43" w:rsidP="007463F5">
            <w:pPr>
              <w:rPr>
                <w:rFonts w:eastAsia="Times New Roman" w:cs="Times New Roman"/>
              </w:rPr>
            </w:pPr>
          </w:p>
          <w:p w14:paraId="18E225D3" w14:textId="77777777" w:rsidR="00D70D43" w:rsidRPr="00AE2224" w:rsidRDefault="00D70D43" w:rsidP="007463F5">
            <w:pPr>
              <w:rPr>
                <w:rFonts w:eastAsia="Times New Roman" w:cs="Times New Roman"/>
              </w:rPr>
            </w:pPr>
            <w:r w:rsidRPr="00AE2224">
              <w:rPr>
                <w:rFonts w:eastAsia="Times New Roman" w:cs="Times New Roman"/>
              </w:rPr>
              <w:t xml:space="preserve">No later than four months after </w:t>
            </w:r>
            <w:r>
              <w:rPr>
                <w:rFonts w:eastAsia="Times New Roman" w:cs="Times New Roman"/>
              </w:rPr>
              <w:t>E</w:t>
            </w:r>
            <w:r w:rsidRPr="00AE2224">
              <w:rPr>
                <w:rFonts w:eastAsia="Times New Roman" w:cs="Times New Roman"/>
              </w:rPr>
              <w:t>ffectiveness</w:t>
            </w:r>
          </w:p>
        </w:tc>
        <w:tc>
          <w:tcPr>
            <w:tcW w:w="2356" w:type="dxa"/>
          </w:tcPr>
          <w:p w14:paraId="36D1DB2E" w14:textId="77777777" w:rsidR="00D70D43" w:rsidRPr="00AE2224" w:rsidRDefault="00D70D43" w:rsidP="007463F5">
            <w:pPr>
              <w:rPr>
                <w:rFonts w:eastAsia="Times New Roman" w:cs="Times New Roman"/>
              </w:rPr>
            </w:pPr>
            <w:r w:rsidRPr="00AE2224">
              <w:rPr>
                <w:rFonts w:eastAsia="Times New Roman" w:cs="Times New Roman"/>
              </w:rPr>
              <w:t>DEEC</w:t>
            </w:r>
          </w:p>
        </w:tc>
      </w:tr>
      <w:tr w:rsidR="00D70D43" w:rsidRPr="00AE2224" w14:paraId="65BC4C0C" w14:textId="77777777" w:rsidTr="0092564D">
        <w:trPr>
          <w:trHeight w:val="1214"/>
        </w:trPr>
        <w:tc>
          <w:tcPr>
            <w:tcW w:w="481" w:type="dxa"/>
          </w:tcPr>
          <w:p w14:paraId="3E7FE5B0" w14:textId="77777777" w:rsidR="00D70D43" w:rsidRPr="00AE2224" w:rsidRDefault="00D70D43" w:rsidP="007463F5">
            <w:pPr>
              <w:rPr>
                <w:rFonts w:eastAsia="Times New Roman" w:cs="Times New Roman"/>
              </w:rPr>
            </w:pPr>
            <w:r w:rsidRPr="00AE2224">
              <w:rPr>
                <w:rFonts w:eastAsia="Times New Roman" w:cs="Times New Roman"/>
              </w:rPr>
              <w:t>3</w:t>
            </w:r>
          </w:p>
        </w:tc>
        <w:tc>
          <w:tcPr>
            <w:tcW w:w="4166" w:type="dxa"/>
          </w:tcPr>
          <w:p w14:paraId="4B9B6455" w14:textId="77777777" w:rsidR="00D70D43" w:rsidRPr="00AE2224" w:rsidRDefault="00D70D43" w:rsidP="007463F5">
            <w:pPr>
              <w:rPr>
                <w:rFonts w:eastAsia="Times New Roman" w:cs="Times New Roman"/>
              </w:rPr>
            </w:pPr>
            <w:r w:rsidRPr="00AE2224">
              <w:rPr>
                <w:rFonts w:eastAsia="Times New Roman" w:cs="Times New Roman"/>
              </w:rPr>
              <w:t xml:space="preserve">Draft the </w:t>
            </w:r>
            <w:proofErr w:type="spellStart"/>
            <w:r w:rsidRPr="00AE2224">
              <w:rPr>
                <w:rFonts w:eastAsia="Times New Roman" w:cs="Times New Roman"/>
              </w:rPr>
              <w:t>ToRs</w:t>
            </w:r>
            <w:proofErr w:type="spellEnd"/>
            <w:r w:rsidRPr="00AE2224">
              <w:rPr>
                <w:rFonts w:eastAsia="Times New Roman" w:cs="Times New Roman"/>
              </w:rPr>
              <w:t xml:space="preserve"> for financial audits of the Project</w:t>
            </w:r>
          </w:p>
          <w:p w14:paraId="7281BB85" w14:textId="77777777" w:rsidR="00D70D43" w:rsidRPr="00AE2224" w:rsidRDefault="00D70D43" w:rsidP="007463F5">
            <w:pPr>
              <w:jc w:val="both"/>
              <w:rPr>
                <w:rFonts w:eastAsia="Times New Roman" w:cs="Times New Roman"/>
              </w:rPr>
            </w:pPr>
            <w:r w:rsidRPr="00AE2224">
              <w:rPr>
                <w:rFonts w:eastAsia="Times New Roman" w:cs="Times New Roman"/>
              </w:rPr>
              <w:t xml:space="preserve">Selection of the auditor </w:t>
            </w:r>
          </w:p>
        </w:tc>
        <w:tc>
          <w:tcPr>
            <w:tcW w:w="2347" w:type="dxa"/>
          </w:tcPr>
          <w:p w14:paraId="7603D80C" w14:textId="77777777" w:rsidR="00D70D43" w:rsidRDefault="00D70D43" w:rsidP="007463F5">
            <w:pPr>
              <w:rPr>
                <w:rFonts w:eastAsia="Times New Roman" w:cs="Times New Roman"/>
              </w:rPr>
            </w:pPr>
          </w:p>
          <w:p w14:paraId="0C843295" w14:textId="77777777" w:rsidR="00D70D43" w:rsidRPr="00AE2224" w:rsidRDefault="00D70D43" w:rsidP="007463F5">
            <w:pPr>
              <w:rPr>
                <w:rFonts w:eastAsia="Times New Roman" w:cs="Times New Roman"/>
              </w:rPr>
            </w:pPr>
            <w:r w:rsidRPr="00AE2224">
              <w:rPr>
                <w:rFonts w:eastAsia="Times New Roman" w:cs="Times New Roman"/>
              </w:rPr>
              <w:t xml:space="preserve">Not later than four months after </w:t>
            </w:r>
            <w:r>
              <w:rPr>
                <w:rFonts w:eastAsia="Times New Roman" w:cs="Times New Roman"/>
              </w:rPr>
              <w:t>E</w:t>
            </w:r>
            <w:r w:rsidRPr="00AE2224">
              <w:rPr>
                <w:rFonts w:eastAsia="Times New Roman" w:cs="Times New Roman"/>
              </w:rPr>
              <w:t>ffectiveness</w:t>
            </w:r>
            <w:r w:rsidRPr="00AE2224" w:rsidDel="00273430">
              <w:rPr>
                <w:rFonts w:eastAsia="Times New Roman" w:cs="Times New Roman"/>
              </w:rPr>
              <w:t xml:space="preserve"> </w:t>
            </w:r>
          </w:p>
        </w:tc>
        <w:tc>
          <w:tcPr>
            <w:tcW w:w="2356" w:type="dxa"/>
          </w:tcPr>
          <w:p w14:paraId="46953919" w14:textId="77777777" w:rsidR="00D70D43" w:rsidRPr="00AE2224" w:rsidRDefault="00D70D43" w:rsidP="007463F5">
            <w:pPr>
              <w:rPr>
                <w:rFonts w:eastAsia="Times New Roman" w:cs="Times New Roman"/>
              </w:rPr>
            </w:pPr>
            <w:r w:rsidRPr="00AE2224">
              <w:rPr>
                <w:rFonts w:eastAsia="Times New Roman" w:cs="Times New Roman"/>
              </w:rPr>
              <w:t>DEEC</w:t>
            </w:r>
          </w:p>
        </w:tc>
      </w:tr>
    </w:tbl>
    <w:p w14:paraId="03BE4BA5" w14:textId="77777777" w:rsidR="00D70D43" w:rsidRPr="00AE2224" w:rsidRDefault="00D70D43" w:rsidP="00D70D43">
      <w:pPr>
        <w:jc w:val="both"/>
        <w:rPr>
          <w:rFonts w:cstheme="minorHAnsi"/>
        </w:rPr>
      </w:pPr>
    </w:p>
    <w:p w14:paraId="36689FE8" w14:textId="77777777" w:rsidR="00D70D43" w:rsidRDefault="00D70D43" w:rsidP="00D70D43">
      <w:pPr>
        <w:tabs>
          <w:tab w:val="left" w:pos="0"/>
        </w:tabs>
        <w:spacing w:before="120"/>
        <w:contextualSpacing/>
        <w:jc w:val="both"/>
        <w:rPr>
          <w:rFonts w:eastAsia="Times New Roman" w:cstheme="minorHAnsi"/>
        </w:rPr>
      </w:pPr>
      <w:r w:rsidRPr="00C52415">
        <w:rPr>
          <w:rFonts w:ascii="Calibri" w:eastAsia="Times New Roman" w:hAnsi="Calibri" w:cs="Calibri"/>
          <w:b/>
        </w:rPr>
        <w:t>Procurement</w:t>
      </w:r>
    </w:p>
    <w:p w14:paraId="66CB4C23" w14:textId="77777777" w:rsidR="00D70D43" w:rsidRPr="00EB1219" w:rsidRDefault="00D70D43" w:rsidP="002E38A2">
      <w:pPr>
        <w:pStyle w:val="ListParagraph"/>
        <w:numPr>
          <w:ilvl w:val="0"/>
          <w:numId w:val="28"/>
        </w:numPr>
        <w:tabs>
          <w:tab w:val="left" w:pos="0"/>
        </w:tabs>
        <w:autoSpaceDE w:val="0"/>
        <w:autoSpaceDN w:val="0"/>
        <w:adjustRightInd w:val="0"/>
        <w:ind w:left="0" w:hanging="450"/>
        <w:contextualSpacing w:val="0"/>
        <w:jc w:val="both"/>
        <w:rPr>
          <w:rFonts w:eastAsia="Times New Roman" w:cstheme="minorHAnsi"/>
        </w:rPr>
      </w:pPr>
      <w:r w:rsidRPr="00EB1219">
        <w:rPr>
          <w:rFonts w:ascii="Calibri" w:eastAsia="Times New Roman" w:hAnsi="Calibri" w:cs="Calibri"/>
        </w:rPr>
        <w:t xml:space="preserve">The Borrowers will carry out procurement under the proposed project in accordance with the World Bank’s “Procurement Regulations for IPF Borrowers” (Procurement Regulations) dated July 2016 and revised in November 2017 and August 2018 under the “New Procurement Framework” (NPF), and the “Guidelines on Preventing and Combating Fraud and Corruption in Projects Financed by IBRD Loans and IDA Credits and Grants”, dated October 2006 and revised in January 2011 and July 2016, and other provisions stipulated in the Financing Agreements. All procuring entities as well as bidders, and service providers, i.e., suppliers, contractors, and consultants shall observe the highest standards of ethics during the procurement and execution of contracts financed under the Project in accordance with paragraph 3.32 and Annex IV of the Procurement Regulations. </w:t>
      </w:r>
    </w:p>
    <w:p w14:paraId="2034D826" w14:textId="77777777" w:rsidR="00D70D43" w:rsidRPr="00EB1219" w:rsidRDefault="00D70D43" w:rsidP="002E38A2">
      <w:pPr>
        <w:pStyle w:val="ListParagraph"/>
        <w:numPr>
          <w:ilvl w:val="0"/>
          <w:numId w:val="28"/>
        </w:numPr>
        <w:tabs>
          <w:tab w:val="left" w:pos="0"/>
        </w:tabs>
        <w:spacing w:before="120"/>
        <w:ind w:left="0" w:hanging="450"/>
        <w:contextualSpacing w:val="0"/>
        <w:jc w:val="both"/>
        <w:rPr>
          <w:rFonts w:eastAsia="Times New Roman" w:cstheme="minorHAnsi"/>
        </w:rPr>
      </w:pPr>
      <w:r w:rsidRPr="00EB1219">
        <w:rPr>
          <w:rFonts w:ascii="Calibri" w:eastAsia="Times New Roman" w:hAnsi="Calibri" w:cs="Calibri"/>
        </w:rPr>
        <w:lastRenderedPageBreak/>
        <w:t xml:space="preserve">The Borrowers shall prepare and submit to the Bank a General Procurement Notice (GPN) and the Bank will arrange for publication of GPN in United Nations Development Business (UNDB) online and on the Bank’s external website.  The Borrowers may also publish it in at least one national newspaper. </w:t>
      </w:r>
    </w:p>
    <w:p w14:paraId="2654DFD4"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rPr>
        <w:t xml:space="preserve">The Borrowers shall publish the Specific Procurement Notices (SPN) for all goods, works, non-consulting services, and the Requests for Expressions of Interest (REOIs) on their free-access websites, if available, and in at least one newspaper of national circulation in the Borrower’s country, and in the official gazette. For open international procurement selection of consultants using an international shortlist, the Borrower shall also publish the SPN in UNDB online and, if possible, in an international newspaper of wide circulation; and the Bank arranges for the simultaneous publication of the SPN on its external website. </w:t>
      </w:r>
    </w:p>
    <w:p w14:paraId="211BA06F"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b/>
        </w:rPr>
        <w:t>Institutional Arrangements for Procurement.</w:t>
      </w:r>
      <w:r w:rsidRPr="00EB1219">
        <w:rPr>
          <w:rFonts w:ascii="Calibri" w:eastAsia="Times New Roman" w:hAnsi="Calibri" w:cs="Calibri"/>
        </w:rPr>
        <w:t xml:space="preserve"> The procurement activities for the Project will be conducted using the existing institutional arrangements under West Africa Coastal Areas Resilience Investment Project (WACA).  The DEEC, responsible for the implementation of the procurement of WACA, will be also the implementing unit of this grant.  The DEEC has designated the WACA Procurement Specialist as also responsible for the procurement activities of the Project and this specialist will work closely with the World Bank Office Procurement Officer.  The consultant supporting the WACA Procurement Specialist will also continue his mission in the context of the implementation of this grant.</w:t>
      </w:r>
    </w:p>
    <w:p w14:paraId="3BE682B0"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b/>
        </w:rPr>
        <w:t>Filing and record keeping:</w:t>
      </w:r>
      <w:r w:rsidRPr="00EB1219">
        <w:rPr>
          <w:rFonts w:ascii="Calibri" w:eastAsia="Times New Roman" w:hAnsi="Calibri" w:cs="Calibri"/>
        </w:rPr>
        <w:t xml:space="preserve"> The Procurement Procedures Manual will set out the detailed procedures for maintaining and providing readily available access to project procurement records, in compliance with the Loan Agreement.</w:t>
      </w:r>
    </w:p>
    <w:p w14:paraId="153074E7" w14:textId="77777777" w:rsidR="00D70D43" w:rsidRPr="00EB1219" w:rsidRDefault="00D70D43" w:rsidP="002E38A2">
      <w:pPr>
        <w:pStyle w:val="ListParagraph"/>
        <w:numPr>
          <w:ilvl w:val="0"/>
          <w:numId w:val="28"/>
        </w:numPr>
        <w:tabs>
          <w:tab w:val="left" w:pos="0"/>
        </w:tabs>
        <w:autoSpaceDE w:val="0"/>
        <w:autoSpaceDN w:val="0"/>
        <w:adjustRightInd w:val="0"/>
        <w:ind w:left="0" w:hanging="446"/>
        <w:contextualSpacing w:val="0"/>
        <w:jc w:val="both"/>
        <w:rPr>
          <w:rFonts w:eastAsia="Times New Roman" w:cstheme="minorHAnsi"/>
        </w:rPr>
      </w:pPr>
      <w:r w:rsidRPr="00EB1219">
        <w:rPr>
          <w:rFonts w:ascii="Calibri" w:eastAsia="Times New Roman" w:hAnsi="Calibri" w:cs="Calibri"/>
          <w:b/>
        </w:rPr>
        <w:t>Project Procurement Strategy for Development:</w:t>
      </w:r>
      <w:r w:rsidRPr="00EB1219">
        <w:rPr>
          <w:rFonts w:ascii="Calibri" w:eastAsia="Times New Roman" w:hAnsi="Calibri" w:cs="Calibri"/>
        </w:rPr>
        <w:t xml:space="preserve"> As part of project preparation, a Project Procurement Strategy for Development (PPSD) has been prepared, which describes how fit-for-purpose procurement activities will support project operations for the achievement of project development objectives and deliver Value for Money (</w:t>
      </w:r>
      <w:proofErr w:type="spellStart"/>
      <w:r w:rsidRPr="00EB1219">
        <w:rPr>
          <w:rFonts w:ascii="Calibri" w:eastAsia="Times New Roman" w:hAnsi="Calibri" w:cs="Calibri"/>
        </w:rPr>
        <w:t>VfM</w:t>
      </w:r>
      <w:proofErr w:type="spellEnd"/>
      <w:r w:rsidRPr="00EB1219">
        <w:rPr>
          <w:rFonts w:ascii="Calibri" w:eastAsia="Times New Roman" w:hAnsi="Calibri" w:cs="Calibri"/>
        </w:rPr>
        <w:t>).  The PPSD is linked to the project implementation strategy at the regional and national levels, ensuring proper sequencing of the activities.  It considers institutional arrangements for procurement; roles and responsibilities; thresholds, procurement methods, and prior review, and the requirements for carrying out procurement. It also includes a detailed assessment and description of state government capacity for carrying out procurement and managing contract implementation, within an acceptable governance structure and accountability framework. Other issues considered include the behaviors, trends and capabilities of the market (i.e., Market Analysis) to inform the procurement plan. The activities also require strong technical capability to prepare proper technical specifications to avert lack of, or inadequate, market response. This capability – or a plan to enhance is considered in the strategies. Also, special arrangements like direct contracting, use of SOEs, UN Agencies, third party monitors, local NGOs, Force Account, or civil servants needs, results-based arrangements, need for prequalification, if any, are considered and addressed.</w:t>
      </w:r>
    </w:p>
    <w:p w14:paraId="7F018905" w14:textId="77777777" w:rsidR="00D70D43" w:rsidRPr="00EB1219" w:rsidRDefault="00D70D43" w:rsidP="002E38A2">
      <w:pPr>
        <w:pStyle w:val="ListParagraph"/>
        <w:numPr>
          <w:ilvl w:val="0"/>
          <w:numId w:val="28"/>
        </w:numPr>
        <w:tabs>
          <w:tab w:val="left" w:pos="0"/>
        </w:tabs>
        <w:spacing w:before="120"/>
        <w:ind w:left="0" w:hanging="450"/>
        <w:contextualSpacing w:val="0"/>
        <w:jc w:val="both"/>
        <w:rPr>
          <w:rFonts w:eastAsia="Times New Roman" w:cstheme="minorHAnsi"/>
        </w:rPr>
      </w:pPr>
      <w:r w:rsidRPr="00EB1219">
        <w:rPr>
          <w:rFonts w:ascii="Calibri" w:eastAsia="Times New Roman" w:hAnsi="Calibri" w:cs="Calibri"/>
          <w:b/>
        </w:rPr>
        <w:t>Procurement Plan.</w:t>
      </w:r>
      <w:r w:rsidRPr="00EB1219">
        <w:rPr>
          <w:rFonts w:ascii="Calibri" w:eastAsia="Times New Roman" w:hAnsi="Calibri" w:cs="Calibri"/>
        </w:rPr>
        <w:t xml:space="preserve"> The Borrower has developed a Procurement Plan for project implementation which provides the basis for specifying the required procurement methods.  The final plan will be submitted to the Bank before negotiations. The Procurement Plan will be updated in agreement with the project team annually or as required to reflect the actual project implementation needs and improvements in institutional capacity. Details of Contract Packages to be procured under the project will be finalized and submitted to the Bank before negotiations. </w:t>
      </w:r>
    </w:p>
    <w:p w14:paraId="78F2937A" w14:textId="32B46CBA" w:rsidR="00F56755" w:rsidRDefault="00F56755" w:rsidP="00D70D43">
      <w:pPr>
        <w:rPr>
          <w:rFonts w:ascii="Calibri" w:eastAsia="Calibri" w:hAnsi="Calibri" w:cs="Times New Roman"/>
        </w:rPr>
      </w:pPr>
      <w:r>
        <w:rPr>
          <w:rFonts w:ascii="Calibri" w:eastAsia="Calibri" w:hAnsi="Calibri" w:cs="Times New Roman"/>
        </w:rPr>
        <w:lastRenderedPageBreak/>
        <w:br w:type="page"/>
      </w:r>
    </w:p>
    <w:p w14:paraId="4EBBE7EC" w14:textId="6EA6B078" w:rsidR="00D70D43" w:rsidRPr="0092564D" w:rsidRDefault="00F56755" w:rsidP="00D70D43">
      <w:pPr>
        <w:rPr>
          <w:rFonts w:ascii="Calibri" w:eastAsia="Calibri" w:hAnsi="Calibri" w:cs="Times New Roman"/>
          <w:b/>
        </w:rPr>
      </w:pPr>
      <w:r w:rsidRPr="0092564D">
        <w:rPr>
          <w:rFonts w:ascii="Calibri" w:eastAsia="Calibri" w:hAnsi="Calibri" w:cs="Times New Roman"/>
          <w:b/>
        </w:rPr>
        <w:lastRenderedPageBreak/>
        <w:t xml:space="preserve">ANNEX 2: </w:t>
      </w:r>
      <w:r w:rsidR="0092564D">
        <w:rPr>
          <w:rFonts w:ascii="Calibri" w:eastAsia="Calibri" w:hAnsi="Calibri" w:cs="Times New Roman"/>
          <w:b/>
        </w:rPr>
        <w:t xml:space="preserve"> </w:t>
      </w:r>
      <w:r w:rsidRPr="0092564D">
        <w:rPr>
          <w:rFonts w:ascii="Calibri" w:eastAsia="Calibri" w:hAnsi="Calibri" w:cs="Times New Roman"/>
          <w:b/>
        </w:rPr>
        <w:t>Results Chain</w:t>
      </w:r>
    </w:p>
    <w:p w14:paraId="7AC802AA" w14:textId="6B76FEAC" w:rsidR="00F56755" w:rsidRDefault="00F56755" w:rsidP="003D4E23">
      <w:pPr>
        <w:pStyle w:val="ListParagraph"/>
        <w:widowControl w:val="0"/>
        <w:autoSpaceDE w:val="0"/>
        <w:autoSpaceDN w:val="0"/>
        <w:adjustRightInd w:val="0"/>
        <w:spacing w:before="120" w:after="0" w:line="240" w:lineRule="auto"/>
        <w:ind w:left="-90"/>
        <w:jc w:val="both"/>
        <w:rPr>
          <w:rFonts w:cstheme="minorHAnsi"/>
          <w:bCs/>
        </w:rPr>
      </w:pPr>
      <w:r w:rsidRPr="00000697">
        <w:rPr>
          <w:rFonts w:cstheme="minorHAnsi"/>
          <w:bCs/>
        </w:rPr>
        <w:t>The EHPMP will leverage targeted investments to reduce mercury emissions and UPOPs releases from gold amalgamation, open-burning of solid and electronic waste and other unsound recycling techniques, to demonstrate reduced environmental health risks. This will include institutional strengthening, capacity building, knowledge sharing, policy and regulatory enhancements, as well as piloting technological and economic approaches to reduce environmental health risks. It is based on a theory of change that sees both community involvement through benefit sharing and strengthening of compliance and enforcement efforts as essential in addressing environmental health risks. The project will build on existing initiatives and platforms, including collaboration with the countries with best practice experience in ASGM and e-waste sectors.</w:t>
      </w:r>
    </w:p>
    <w:p w14:paraId="661B3F92" w14:textId="77777777" w:rsidR="00F56755" w:rsidRDefault="00F56755" w:rsidP="00F56755">
      <w:pPr>
        <w:pStyle w:val="ListParagraph"/>
        <w:spacing w:before="120"/>
        <w:ind w:left="3"/>
        <w:jc w:val="both"/>
        <w:rPr>
          <w:rFonts w:cstheme="minorHAnsi"/>
          <w:bCs/>
        </w:rPr>
      </w:pPr>
    </w:p>
    <w:p w14:paraId="3E62C225" w14:textId="6A19ED2A" w:rsidR="00F56755" w:rsidRDefault="00F56755" w:rsidP="00F56755">
      <w:pPr>
        <w:pStyle w:val="ListParagraph"/>
        <w:spacing w:before="120"/>
        <w:ind w:left="3"/>
        <w:jc w:val="both"/>
        <w:rPr>
          <w:rFonts w:cstheme="minorHAnsi"/>
          <w:bCs/>
        </w:rPr>
      </w:pPr>
      <w:r>
        <w:rPr>
          <w:rFonts w:cstheme="minorHAnsi"/>
          <w:b/>
          <w:bCs/>
          <w:i/>
          <w:noProof/>
        </w:rPr>
        <w:drawing>
          <wp:inline distT="0" distB="0" distL="0" distR="0" wp14:anchorId="7FAC45E3" wp14:editId="0B8D9CD4">
            <wp:extent cx="5943600" cy="4646826"/>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108807" name="Picture 2"/>
                    <pic:cNvPicPr>
                      <a:picLocks noChangeAspect="1" noChangeArrowheads="1"/>
                    </pic:cNvPicPr>
                  </pic:nvPicPr>
                  <pic:blipFill>
                    <a:blip r:embed="rId31">
                      <a:extLst>
                        <a:ext uri="{28A0092B-C50C-407E-A947-70E740481C1C}">
                          <a14:useLocalDpi xmlns:a14="http://schemas.microsoft.com/office/drawing/2010/main" val="0"/>
                        </a:ext>
                      </a:extLst>
                    </a:blip>
                    <a:stretch>
                      <a:fillRect/>
                    </a:stretch>
                  </pic:blipFill>
                  <pic:spPr bwMode="auto">
                    <a:xfrm>
                      <a:off x="0" y="0"/>
                      <a:ext cx="5943600" cy="4646826"/>
                    </a:xfrm>
                    <a:prstGeom prst="rect">
                      <a:avLst/>
                    </a:prstGeom>
                    <a:noFill/>
                  </pic:spPr>
                </pic:pic>
              </a:graphicData>
            </a:graphic>
          </wp:inline>
        </w:drawing>
      </w:r>
    </w:p>
    <w:p w14:paraId="6DBED3D0" w14:textId="5C677B30" w:rsidR="00F56755" w:rsidRPr="00A25E3B" w:rsidRDefault="00F56755" w:rsidP="00F56755">
      <w:pPr>
        <w:ind w:left="-634"/>
        <w:jc w:val="center"/>
        <w:rPr>
          <w:rFonts w:cstheme="minorHAnsi"/>
          <w:bCs/>
        </w:rPr>
      </w:pPr>
      <w:r w:rsidRPr="00A25E3B">
        <w:rPr>
          <w:rFonts w:cstheme="minorHAnsi"/>
          <w:bCs/>
        </w:rPr>
        <w:br/>
      </w:r>
      <w:r w:rsidRPr="00A25E3B">
        <w:rPr>
          <w:rFonts w:cstheme="minorHAnsi"/>
          <w:b/>
          <w:bCs/>
          <w:i/>
        </w:rPr>
        <w:t xml:space="preserve">Figure 1. </w:t>
      </w:r>
      <w:r w:rsidRPr="00A25E3B">
        <w:rPr>
          <w:rFonts w:cstheme="minorHAnsi"/>
          <w:bCs/>
          <w:i/>
        </w:rPr>
        <w:t>Theory of Change / Result Chain.</w:t>
      </w:r>
    </w:p>
    <w:p w14:paraId="4CD0D29D" w14:textId="77777777" w:rsidR="00F56755" w:rsidRPr="00F81AC2" w:rsidRDefault="00F56755" w:rsidP="00F56755">
      <w:pPr>
        <w:ind w:left="-634"/>
        <w:rPr>
          <w:bCs/>
        </w:rPr>
      </w:pPr>
    </w:p>
    <w:p w14:paraId="2513EE03" w14:textId="77777777" w:rsidR="0050211D" w:rsidRDefault="0050211D" w:rsidP="00AE2073">
      <w:pPr>
        <w:spacing w:after="0" w:line="240" w:lineRule="auto"/>
        <w:ind w:right="-691"/>
        <w:sectPr w:rsidR="0050211D" w:rsidSect="008D2AF0">
          <w:type w:val="continuous"/>
          <w:pgSz w:w="12240" w:h="15840"/>
          <w:pgMar w:top="1440" w:right="1440" w:bottom="1440" w:left="1440" w:header="720" w:footer="720" w:gutter="0"/>
          <w:cols w:space="720"/>
          <w:docGrid w:linePitch="360"/>
        </w:sectPr>
      </w:pPr>
    </w:p>
    <w:p w14:paraId="2E8EDB5D" w14:textId="77777777" w:rsidR="00AA4620" w:rsidRPr="00735935" w:rsidRDefault="008F34B0" w:rsidP="007463F5">
      <w:pPr>
        <w:spacing w:line="14" w:lineRule="exact"/>
        <w:ind w:left="-691" w:right="-418"/>
        <w:rPr>
          <w:b/>
          <w:bCs/>
          <w:color w:val="7F7F7F" w:themeColor="text1" w:themeTint="80"/>
        </w:rPr>
      </w:pPr>
      <w:sdt>
        <w:sdtPr>
          <w:rPr>
            <w:b/>
            <w:bCs/>
            <w:color w:val="7F7F7F" w:themeColor="text1" w:themeTint="80"/>
          </w:rPr>
          <w:tag w:val="OPS_CORE_SECTION_START_13"/>
          <w:id w:val="-358279664"/>
          <w:lock w:val="contentLocked"/>
          <w:placeholder>
            <w:docPart w:val="A74B4EA0562B4336A558721ED06C669D"/>
          </w:placeholder>
        </w:sdtPr>
        <w:sdtEndPr/>
        <w:sdtContent>
          <w:r w:rsidR="00AA4620" w:rsidRPr="00735935">
            <w:rPr>
              <w:b/>
              <w:bCs/>
              <w:color w:val="7F7F7F" w:themeColor="text1" w:themeTint="80"/>
            </w:rPr>
            <w:t xml:space="preserve"> </w:t>
          </w:r>
        </w:sdtContent>
      </w:sdt>
    </w:p>
    <w:p w14:paraId="39823CC0" w14:textId="77777777" w:rsidR="00AA4620" w:rsidRDefault="00AA4620" w:rsidP="007463F5">
      <w:pPr>
        <w:spacing w:line="14" w:lineRule="exact"/>
        <w:ind w:left="-691" w:right="-418"/>
        <w:rPr>
          <w:b/>
          <w:bCs/>
          <w:color w:val="7F7F7F" w:themeColor="text1" w:themeTint="80"/>
        </w:rPr>
      </w:pPr>
    </w:p>
    <w:tbl>
      <w:tblPr>
        <w:tblStyle w:val="TableGrid230"/>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4130"/>
      </w:tblGrid>
      <w:tr w:rsidR="00AA4620" w14:paraId="39A8632C" w14:textId="77777777" w:rsidTr="007463F5">
        <w:tc>
          <w:tcPr>
            <w:tcW w:w="14130" w:type="dxa"/>
            <w:shd w:val="clear" w:color="auto" w:fill="F7F7F7"/>
          </w:tcPr>
          <w:p w14:paraId="546173E8" w14:textId="5AD3ACEF" w:rsidR="00AA4620" w:rsidRPr="00934FB8" w:rsidRDefault="00AA4620" w:rsidP="007463F5">
            <w:pPr>
              <w:jc w:val="center"/>
              <w:rPr>
                <w:b/>
                <w:caps/>
              </w:rPr>
            </w:pPr>
            <w:r>
              <w:rPr>
                <w:noProof/>
              </w:rPr>
              <mc:AlternateContent>
                <mc:Choice Requires="wps">
                  <w:drawing>
                    <wp:anchor distT="0" distB="0" distL="114300" distR="114300" simplePos="0" relativeHeight="251673600" behindDoc="0" locked="0" layoutInCell="1" allowOverlap="1" wp14:anchorId="52D80E4D" wp14:editId="45A98B45">
                      <wp:simplePos x="0" y="0"/>
                      <wp:positionH relativeFrom="column">
                        <wp:posOffset>-584200</wp:posOffset>
                      </wp:positionH>
                      <wp:positionV relativeFrom="paragraph">
                        <wp:posOffset>-17145</wp:posOffset>
                      </wp:positionV>
                      <wp:extent cx="10113645" cy="0"/>
                      <wp:effectExtent l="0" t="0" r="1905" b="19050"/>
                      <wp:wrapNone/>
                      <wp:docPr id="25" name="Straight Connector 25"/>
                      <wp:cNvGraphicFramePr/>
                      <a:graphic xmlns:a="http://schemas.openxmlformats.org/drawingml/2006/main">
                        <a:graphicData uri="http://schemas.microsoft.com/office/word/2010/wordprocessingShape">
                          <wps:wsp>
                            <wps:cNvCnPr/>
                            <wps:spPr>
                              <a:xfrm>
                                <a:off x="0" y="0"/>
                                <a:ext cx="1011364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FA9DA0" id="Straight Connector 2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35pt" to="750.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" strokecolor="gray [1629]">
                      <v:stroke dashstyle="dash" opacity="26214f" joinstyle="miter"/>
                    </v:line>
                  </w:pict>
                </mc:Fallback>
              </mc:AlternateContent>
            </w:r>
            <w:r w:rsidR="00DE5B07">
              <w:rPr>
                <w:b/>
                <w:color w:val="0D0D0D" w:themeColor="text1" w:themeTint="F2"/>
              </w:rPr>
              <w:t xml:space="preserve">ANNEX 3 - </w:t>
            </w:r>
            <w:r w:rsidRPr="00934FB8">
              <w:rPr>
                <w:b/>
                <w:color w:val="0D0D0D" w:themeColor="text1" w:themeTint="F2"/>
              </w:rPr>
              <w:t>Results Framework</w:t>
            </w:r>
          </w:p>
        </w:tc>
      </w:tr>
      <w:tr w:rsidR="00AA4620" w14:paraId="47AE140E" w14:textId="77777777" w:rsidTr="007463F5">
        <w:trPr>
          <w:trHeight w:val="432"/>
        </w:trPr>
        <w:tc>
          <w:tcPr>
            <w:tcW w:w="14130" w:type="dxa"/>
            <w:shd w:val="clear" w:color="auto" w:fill="F7F7F7"/>
          </w:tcPr>
          <w:p w14:paraId="0BF16B4D" w14:textId="77777777" w:rsidR="00AA4620" w:rsidRDefault="00AA4620" w:rsidP="007463F5">
            <w:pPr>
              <w:jc w:val="center"/>
              <w:rPr>
                <w:noProof/>
              </w:rPr>
            </w:pPr>
            <w:r>
              <w:rPr>
                <w:b/>
                <w:bCs/>
                <w:color w:val="767171" w:themeColor="background2" w:themeShade="80"/>
              </w:rPr>
              <w:t>COUNTRY</w:t>
            </w:r>
            <w:r w:rsidRPr="00793F6E">
              <w:rPr>
                <w:b/>
                <w:bCs/>
                <w:color w:val="767171" w:themeColor="background2" w:themeShade="80"/>
              </w:rPr>
              <w:t xml:space="preserve">: </w:t>
            </w:r>
            <w:r w:rsidRPr="00793F6E">
              <w:rPr>
                <w:b/>
                <w:bCs/>
                <w:noProof/>
                <w:color w:val="767171" w:themeColor="background2" w:themeShade="80"/>
              </w:rPr>
              <w:t>Africa</w:t>
            </w:r>
            <w:r w:rsidRPr="00793F6E">
              <w:rPr>
                <w:b/>
                <w:bCs/>
                <w:color w:val="767171" w:themeColor="background2" w:themeShade="80"/>
              </w:rPr>
              <w:t xml:space="preserve"> </w:t>
            </w:r>
            <w:r w:rsidRPr="00793F6E">
              <w:rPr>
                <w:b/>
                <w:bCs/>
                <w:color w:val="767171" w:themeColor="background2" w:themeShade="80"/>
              </w:rPr>
              <w:br/>
            </w:r>
            <w:r w:rsidRPr="002C6736">
              <w:rPr>
                <w:b/>
                <w:bCs/>
                <w:noProof/>
                <w:color w:val="767171" w:themeColor="background2" w:themeShade="80"/>
              </w:rPr>
              <w:t>Africa Environmental Health and Pollution Management Program</w:t>
            </w:r>
          </w:p>
        </w:tc>
      </w:tr>
    </w:tbl>
    <w:p w14:paraId="7C4447EE" w14:textId="77777777" w:rsidR="00AA4620" w:rsidRDefault="00AA4620" w:rsidP="00AA4620">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126"/>
      </w:tblGrid>
      <w:tr w:rsidR="00AA4620" w14:paraId="28338B37" w14:textId="77777777" w:rsidTr="007463F5">
        <w:trPr>
          <w:trHeight w:val="432"/>
        </w:trPr>
        <w:tc>
          <w:tcPr>
            <w:tcW w:w="14126" w:type="dxa"/>
            <w:shd w:val="clear" w:color="auto" w:fill="F7F7F7"/>
            <w:vAlign w:val="center"/>
          </w:tcPr>
          <w:p w14:paraId="62887669" w14:textId="77777777" w:rsidR="00AA4620" w:rsidRDefault="00AA4620" w:rsidP="007463F5">
            <w:pPr>
              <w:ind w:right="-418"/>
              <w:rPr>
                <w:b/>
                <w:bCs/>
                <w:color w:val="7F7F7F" w:themeColor="text1" w:themeTint="80"/>
              </w:rPr>
            </w:pPr>
            <w:r w:rsidRPr="00934FB8">
              <w:rPr>
                <w:b/>
                <w:color w:val="172D5F"/>
              </w:rPr>
              <w:t>Project Development Objectives</w:t>
            </w:r>
            <w:r>
              <w:rPr>
                <w:b/>
                <w:color w:val="172D5F"/>
              </w:rPr>
              <w:t>(s)</w:t>
            </w:r>
          </w:p>
        </w:tc>
      </w:tr>
      <w:tr w:rsidR="00AA4620" w14:paraId="6123E3D6" w14:textId="77777777" w:rsidTr="007463F5">
        <w:trPr>
          <w:trHeight w:val="432"/>
        </w:trPr>
        <w:tc>
          <w:tcPr>
            <w:tcW w:w="14126" w:type="dxa"/>
            <w:shd w:val="clear" w:color="auto" w:fill="F7F7F7"/>
            <w:vAlign w:val="center"/>
          </w:tcPr>
          <w:p w14:paraId="5C707420" w14:textId="77777777" w:rsidR="00AA4620" w:rsidRDefault="00AA4620" w:rsidP="007463F5">
            <w:pPr>
              <w:shd w:val="clear" w:color="auto" w:fill="F7F7F7"/>
              <w:rPr>
                <w:b/>
                <w:bCs/>
                <w:color w:val="7F7F7F" w:themeColor="text1" w:themeTint="80"/>
              </w:rPr>
            </w:pPr>
            <w:r w:rsidRPr="00501672">
              <w:rPr>
                <w:noProof/>
                <w:szCs w:val="18"/>
              </w:rPr>
              <w:t>To reduce exposure to mercury and uPOPs pollution at pilot sites and strengthen the institutional capacity to manage and regulate mercury use in artisanal small-scale gold mining (ASGM) and e-waste in selected countries in Africa</w:t>
            </w:r>
          </w:p>
        </w:tc>
      </w:tr>
    </w:tbl>
    <w:p w14:paraId="38E87E61" w14:textId="77777777" w:rsidR="00AA4620" w:rsidRDefault="00AA4620" w:rsidP="00AA4620">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AA4620" w14:paraId="5B486A4C" w14:textId="77777777" w:rsidTr="007463F5">
        <w:trPr>
          <w:trHeight w:val="432"/>
        </w:trPr>
        <w:tc>
          <w:tcPr>
            <w:tcW w:w="14126" w:type="dxa"/>
            <w:shd w:val="clear" w:color="auto" w:fill="F7F7F7"/>
            <w:vAlign w:val="center"/>
          </w:tcPr>
          <w:p w14:paraId="4A452FD2" w14:textId="77777777" w:rsidR="00AA4620" w:rsidRPr="00A95B97" w:rsidRDefault="00AA4620" w:rsidP="007463F5">
            <w:pPr>
              <w:keepNext/>
              <w:keepLines/>
              <w:rPr>
                <w:rFonts w:ascii="Calibri" w:eastAsia="Times New Roman" w:hAnsi="Calibri" w:cs="Times New Roman"/>
                <w:b/>
                <w:color w:val="172D5F"/>
              </w:rPr>
            </w:pPr>
            <w:r>
              <w:rPr>
                <w:rFonts w:ascii="Calibri" w:hAnsi="Calibri" w:cs="Times New Roman"/>
                <w:b/>
                <w:color w:val="172D5F"/>
              </w:rPr>
              <w:t>Project Development Objective Indicators</w:t>
            </w:r>
          </w:p>
        </w:tc>
      </w:tr>
    </w:tbl>
    <w:p w14:paraId="0422CBBE" w14:textId="77777777" w:rsidR="00AA4620" w:rsidRDefault="00AA4620" w:rsidP="00AA4620">
      <w:pPr>
        <w:keepNext/>
        <w:keepLines/>
        <w:shd w:val="clear" w:color="auto" w:fill="F7F7F7"/>
        <w:spacing w:line="14" w:lineRule="exact"/>
        <w:ind w:left="-691" w:right="-418"/>
        <w:rPr>
          <w:b/>
          <w:bCs/>
          <w:color w:val="7F7F7F" w:themeColor="text1" w:themeTint="80"/>
        </w:rPr>
      </w:pPr>
    </w:p>
    <w:tbl>
      <w:tblPr>
        <w:tblW w:w="14130" w:type="dxa"/>
        <w:tblInd w:w="-720" w:type="dxa"/>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AA4620" w14:paraId="6ACC8320" w14:textId="77777777" w:rsidTr="007463F5">
        <w:trPr>
          <w:trHeight w:val="20"/>
          <w:tblHeader/>
        </w:trPr>
        <w:tc>
          <w:tcPr>
            <w:tcW w:w="4035" w:type="dxa"/>
            <w:tcBorders>
              <w:bottom w:val="single" w:sz="4" w:space="0" w:color="D9D9D9"/>
            </w:tcBorders>
            <w:shd w:val="clear" w:color="auto" w:fill="F7F7F7"/>
            <w:vAlign w:val="center"/>
          </w:tcPr>
          <w:p w14:paraId="45EEDB3D" w14:textId="77777777" w:rsidR="00AA4620" w:rsidRPr="00AA635D" w:rsidRDefault="00AA4620" w:rsidP="007463F5">
            <w:pPr>
              <w:keepNext/>
              <w:keepLines/>
              <w:spacing w:before="100" w:beforeAutospacing="1" w:after="100" w:afterAutospacing="1" w:line="14" w:lineRule="exact"/>
              <w:ind w:left="115"/>
              <w:rPr>
                <w:rFonts w:cstheme="minorHAnsi"/>
                <w:b/>
                <w:color w:val="F7F7F7"/>
                <w:sz w:val="2"/>
                <w:szCs w:val="2"/>
              </w:rPr>
            </w:pPr>
            <w:r w:rsidRPr="00AA635D">
              <w:rPr>
                <w:rFonts w:cstheme="minorHAnsi"/>
                <w:b/>
                <w:color w:val="F7F7F7"/>
                <w:sz w:val="2"/>
                <w:szCs w:val="2"/>
              </w:rPr>
              <w:t>RESULT_FRAME_TBL_PDO</w:t>
            </w:r>
          </w:p>
        </w:tc>
        <w:tc>
          <w:tcPr>
            <w:tcW w:w="447" w:type="dxa"/>
            <w:tcBorders>
              <w:bottom w:val="single" w:sz="4" w:space="0" w:color="D9D9D9"/>
            </w:tcBorders>
            <w:shd w:val="clear" w:color="auto" w:fill="F7F7F7"/>
            <w:vAlign w:val="center"/>
          </w:tcPr>
          <w:p w14:paraId="775D9B3C" w14:textId="77777777" w:rsidR="00AA4620" w:rsidRPr="00AA635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bottom w:val="single" w:sz="4" w:space="0" w:color="D9D9D9"/>
            </w:tcBorders>
            <w:shd w:val="clear" w:color="auto" w:fill="F7F7F7"/>
            <w:vAlign w:val="center"/>
          </w:tcPr>
          <w:p w14:paraId="5D193219" w14:textId="77777777" w:rsidR="00AA4620" w:rsidRPr="00AA635D" w:rsidRDefault="00AA4620" w:rsidP="00DE5B07">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bottom w:val="single" w:sz="4" w:space="0" w:color="D9D9D9"/>
            </w:tcBorders>
            <w:shd w:val="clear" w:color="auto" w:fill="F7F7F7"/>
            <w:vAlign w:val="center"/>
          </w:tcPr>
          <w:p w14:paraId="2AA3D91A" w14:textId="77777777" w:rsidR="00AA4620" w:rsidRPr="00AA635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r>
      <w:tr w:rsidR="00AA4620" w14:paraId="0C174F4B" w14:textId="77777777" w:rsidTr="007463F5">
        <w:trPr>
          <w:trHeight w:val="20"/>
          <w:tblHeader/>
        </w:trPr>
        <w:tc>
          <w:tcPr>
            <w:tcW w:w="4035" w:type="dxa"/>
            <w:tcBorders>
              <w:top w:val="single" w:sz="4" w:space="0" w:color="D9D9D9"/>
              <w:left w:val="single" w:sz="4" w:space="0" w:color="D9D9D9"/>
              <w:right w:val="single" w:sz="4" w:space="0" w:color="D9D9D9"/>
            </w:tcBorders>
            <w:shd w:val="clear" w:color="auto" w:fill="F7F7F7"/>
            <w:vAlign w:val="center"/>
          </w:tcPr>
          <w:p w14:paraId="42CF43CF" w14:textId="77777777" w:rsidR="00AA4620" w:rsidRPr="00250A13" w:rsidRDefault="00AA4620"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right w:val="single" w:sz="4" w:space="0" w:color="D9D9D9"/>
            </w:tcBorders>
            <w:shd w:val="clear" w:color="auto" w:fill="F7F7F7"/>
            <w:vAlign w:val="center"/>
          </w:tcPr>
          <w:p w14:paraId="2469264E" w14:textId="77777777" w:rsidR="00AA4620" w:rsidRPr="00250A13" w:rsidRDefault="00AA4620" w:rsidP="007463F5">
            <w:pPr>
              <w:keepNext/>
              <w:keepLines/>
              <w:spacing w:before="60" w:after="60"/>
              <w:ind w:left="15"/>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right w:val="single" w:sz="4" w:space="0" w:color="D9D9D9"/>
            </w:tcBorders>
            <w:shd w:val="clear" w:color="auto" w:fill="F7F7F7"/>
            <w:vAlign w:val="center"/>
          </w:tcPr>
          <w:p w14:paraId="70EF4A76"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right w:val="single" w:sz="4" w:space="0" w:color="D9D9D9"/>
            </w:tcBorders>
            <w:shd w:val="clear" w:color="auto" w:fill="F7F7F7"/>
            <w:vAlign w:val="center"/>
          </w:tcPr>
          <w:p w14:paraId="27087FB0"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AA4620" w14:paraId="53C05BF7" w14:textId="77777777" w:rsidTr="007463F5">
        <w:trPr>
          <w:trHeight w:val="20"/>
          <w:tblHeader/>
        </w:trPr>
        <w:tc>
          <w:tcPr>
            <w:tcW w:w="4035" w:type="dxa"/>
            <w:tcBorders>
              <w:left w:val="single" w:sz="4" w:space="0" w:color="D9D9D9"/>
              <w:bottom w:val="single" w:sz="4" w:space="0" w:color="D9D9D9"/>
              <w:right w:val="single" w:sz="4" w:space="0" w:color="D9D9D9"/>
            </w:tcBorders>
            <w:shd w:val="clear" w:color="auto" w:fill="F7F7F7"/>
            <w:vAlign w:val="center"/>
          </w:tcPr>
          <w:p w14:paraId="7549A73E" w14:textId="77777777" w:rsidR="00AA4620" w:rsidRPr="00252C83" w:rsidRDefault="00AA4620" w:rsidP="007463F5">
            <w:pPr>
              <w:spacing w:before="60" w:after="60"/>
              <w:ind w:left="115"/>
              <w:rPr>
                <w:b/>
                <w:color w:val="002060"/>
              </w:rPr>
            </w:pPr>
          </w:p>
        </w:tc>
        <w:tc>
          <w:tcPr>
            <w:tcW w:w="447" w:type="dxa"/>
            <w:tcBorders>
              <w:left w:val="single" w:sz="4" w:space="0" w:color="D9D9D9"/>
              <w:bottom w:val="single" w:sz="4" w:space="0" w:color="D9D9D9"/>
              <w:right w:val="single" w:sz="4" w:space="0" w:color="D9D9D9"/>
            </w:tcBorders>
            <w:shd w:val="clear" w:color="auto" w:fill="F7F7F7"/>
            <w:vAlign w:val="center"/>
          </w:tcPr>
          <w:p w14:paraId="25A1DBCD" w14:textId="77777777" w:rsidR="00AA4620" w:rsidRPr="00252C83" w:rsidRDefault="00AA4620" w:rsidP="007463F5">
            <w:pPr>
              <w:spacing w:before="60" w:after="60"/>
              <w:ind w:left="115"/>
              <w:rPr>
                <w:b/>
                <w:color w:val="002060"/>
              </w:rPr>
            </w:pPr>
          </w:p>
        </w:tc>
        <w:tc>
          <w:tcPr>
            <w:tcW w:w="3603" w:type="dxa"/>
            <w:tcBorders>
              <w:left w:val="single" w:sz="4" w:space="0" w:color="D9D9D9"/>
              <w:bottom w:val="single" w:sz="4" w:space="0" w:color="D9D9D9"/>
              <w:right w:val="single" w:sz="4" w:space="0" w:color="D9D9D9"/>
            </w:tcBorders>
            <w:shd w:val="clear" w:color="auto" w:fill="F7F7F7"/>
            <w:vAlign w:val="center"/>
          </w:tcPr>
          <w:p w14:paraId="4D7A1F10" w14:textId="77777777" w:rsidR="00AA4620" w:rsidRPr="00D73445" w:rsidRDefault="00AA4620" w:rsidP="007463F5">
            <w:pPr>
              <w:keepNext/>
              <w:keepLines/>
              <w:spacing w:before="60" w:after="60"/>
              <w:ind w:left="115"/>
              <w:rPr>
                <w:b/>
                <w:color w:val="002060"/>
              </w:rPr>
            </w:pPr>
          </w:p>
        </w:tc>
        <w:tc>
          <w:tcPr>
            <w:tcW w:w="3615" w:type="dxa"/>
            <w:tcBorders>
              <w:left w:val="single" w:sz="4" w:space="0" w:color="D9D9D9"/>
              <w:bottom w:val="single" w:sz="4" w:space="0" w:color="D9D9D9"/>
              <w:right w:val="single" w:sz="4" w:space="0" w:color="D9D9D9"/>
            </w:tcBorders>
            <w:shd w:val="clear" w:color="auto" w:fill="F7F7F7"/>
            <w:vAlign w:val="center"/>
          </w:tcPr>
          <w:p w14:paraId="61068F9D" w14:textId="77777777" w:rsidR="00AA4620" w:rsidRPr="00252C83" w:rsidRDefault="00AA4620" w:rsidP="007463F5">
            <w:pPr>
              <w:spacing w:before="60" w:after="60"/>
              <w:ind w:left="115"/>
              <w:rPr>
                <w:b/>
                <w:color w:val="002060"/>
              </w:rPr>
            </w:pPr>
          </w:p>
        </w:tc>
      </w:tr>
      <w:tr w:rsidR="00AA4620" w14:paraId="0F9773F2"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1594FC15"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AA4620" w14:paraId="0D36227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47B4E0"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Knowledge products on mercury and uPOPs management designed and disseminated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F2C46D"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665547"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E249CE"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10.00</w:t>
            </w:r>
          </w:p>
        </w:tc>
      </w:tr>
      <w:tr w:rsidR="00AA4620" w14:paraId="7A000E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D57676"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2E8C65"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CCDE86"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81A0B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CBC5C4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48C67A"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F31B3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693380"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E999C1"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07900D3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2DD1F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DD8C7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634605"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81E08A"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EB6770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57ACD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8F180A"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9A003D"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07FE5F"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6C00F7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010C54"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42C2C3"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36A149"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D63D78"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366665F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16E68A"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lastRenderedPageBreak/>
              <w:t>Stakeholder outreach events completed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59725B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28E680B"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3A5F4B"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40.00</w:t>
            </w:r>
          </w:p>
        </w:tc>
      </w:tr>
      <w:tr w:rsidR="00AA4620" w14:paraId="0E6EDC7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6169AE"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1FE23E"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3760E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8D6BD7"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3474437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0D88E4"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4978BA"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A978F9"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92B69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51DF897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4CAF9A"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F98773"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CE452F"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40E009"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76DFFEF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A89B88"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635DF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11890FF"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7F25F5"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00D1A6D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465D8F"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7FFBC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EC0B43"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790C17"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1C19AC8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FA9A2B"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Policy interventions on mercury and e-waste management (including uPOPs emissions) designed and consulted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F91419"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84FC6C"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D4A70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10.00</w:t>
            </w:r>
          </w:p>
        </w:tc>
      </w:tr>
      <w:tr w:rsidR="00AA4620" w14:paraId="6849DA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FCE5B4"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404ED60"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13648E"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05458B"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5DFD71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5FE852"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607D2A"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AE72F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7D9593"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6409A6C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4B20B0"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31D4A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B901C1"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85548F"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40CDB3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4FD5F1"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CF5A7D"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CF4262"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325C54"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71F5BD8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4342A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B618AF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1CEE55"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8F03388"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4DF844D"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7B74A4B4"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AA4620" w14:paraId="16B619B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E36200"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Piloting of best environmental practices and cleaner technologies to help countries meet their Stockholm and Minamata Convention obligations completed and evaluated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3386A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C15050"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330E3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8.00</w:t>
            </w:r>
          </w:p>
        </w:tc>
      </w:tr>
      <w:tr w:rsidR="00AA4620" w14:paraId="30F855F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048BD7"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75B091"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036F02"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C692B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DF22E3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06E7D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lastRenderedPageBreak/>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99174"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4DE144"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C7A42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3A6B2BE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E39B9E"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CD5D99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0A0E04"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C868DA"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w:t>
            </w:r>
          </w:p>
        </w:tc>
      </w:tr>
      <w:tr w:rsidR="00AA4620" w14:paraId="63D35DB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809D1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D17DA45"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1D4B2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D8F8F4"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1.00</w:t>
            </w:r>
          </w:p>
        </w:tc>
      </w:tr>
      <w:tr w:rsidR="00AA4620" w14:paraId="2A75C1D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BE19DB"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2B623"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420C73"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E43FF1"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w:t>
            </w:r>
          </w:p>
        </w:tc>
      </w:tr>
      <w:tr w:rsidR="00AA4620" w14:paraId="401F98E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299416D"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Mercury use in ASGM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6FA58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2ED97B"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5A2A90"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75BBA81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3A81EF"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976C64"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260581"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AE0325"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411E183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2D3C2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6A4384"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AD0F7E"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384E3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555B29A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937CE0" w14:textId="77777777" w:rsidR="00AA4620" w:rsidRPr="0009281B" w:rsidRDefault="00AA4620"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Exposure to uPOPs pollution from open burning of hazardous waste including e-waste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72A6C20"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82DDCB"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4838A3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09C04BF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5A40FE"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7C08C6"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6945C2"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A5F54C"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1F4344A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2DFC2C"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2FF07C"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29B058"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5EFE00"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3126A61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ACAD47"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805FFF"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EFA65D"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CCDE066"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r w:rsidR="00AA4620" w14:paraId="352BDC5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BF6028" w14:textId="77777777" w:rsidR="00AA4620" w:rsidRPr="0009281B" w:rsidRDefault="00AA4620"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D8AC27" w14:textId="77777777" w:rsidR="00AA4620" w:rsidRPr="0009281B" w:rsidRDefault="00AA4620"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515B43" w14:textId="77777777" w:rsidR="00AA4620" w:rsidRPr="0009281B" w:rsidRDefault="00AA4620"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27065D" w14:textId="77777777" w:rsidR="00AA4620" w:rsidRPr="0009281B" w:rsidRDefault="00AA4620" w:rsidP="007463F5">
            <w:pPr>
              <w:spacing w:before="40" w:after="40"/>
              <w:ind w:left="115"/>
              <w:rPr>
                <w:rFonts w:ascii="Calibri" w:eastAsia="Times New Roman" w:hAnsi="Calibri"/>
                <w:sz w:val="18"/>
                <w:szCs w:val="18"/>
              </w:rPr>
            </w:pPr>
            <w:r>
              <w:rPr>
                <w:noProof/>
                <w:sz w:val="18"/>
                <w:szCs w:val="18"/>
              </w:rPr>
              <w:t>20.00</w:t>
            </w:r>
          </w:p>
        </w:tc>
      </w:tr>
    </w:tbl>
    <w:p w14:paraId="6EB135DE" w14:textId="77777777" w:rsidR="00AA4620" w:rsidRDefault="00AA4620" w:rsidP="00AA4620">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AA4620" w14:paraId="21DC07FF" w14:textId="77777777" w:rsidTr="007463F5">
        <w:trPr>
          <w:trHeight w:val="576"/>
        </w:trPr>
        <w:tc>
          <w:tcPr>
            <w:tcW w:w="14096" w:type="dxa"/>
            <w:shd w:val="clear" w:color="auto" w:fill="F7F7F7"/>
          </w:tcPr>
          <w:p w14:paraId="1F6C894D" w14:textId="77777777" w:rsidR="00AA4620" w:rsidRDefault="00AA4620" w:rsidP="007463F5">
            <w:pPr>
              <w:ind w:right="-418"/>
              <w:rPr>
                <w:b/>
                <w:bCs/>
                <w:color w:val="7F7F7F" w:themeColor="text1" w:themeTint="80"/>
              </w:rPr>
            </w:pPr>
            <w:r w:rsidRPr="007B35D0">
              <w:rPr>
                <w:b/>
                <w:bCs/>
                <w:color w:val="F7F7F7"/>
              </w:rPr>
              <w:t>PDO Table SPACE</w:t>
            </w:r>
          </w:p>
        </w:tc>
      </w:tr>
    </w:tbl>
    <w:p w14:paraId="112B7DE2" w14:textId="77777777" w:rsidR="00AA4620" w:rsidRDefault="00AA4620" w:rsidP="00AA4620">
      <w:pPr>
        <w:shd w:val="clear" w:color="auto" w:fill="F7F7F7"/>
        <w:spacing w:line="14" w:lineRule="exact"/>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AA4620" w14:paraId="3E3B4EDA" w14:textId="77777777" w:rsidTr="007463F5">
        <w:trPr>
          <w:trHeight w:val="432"/>
        </w:trPr>
        <w:tc>
          <w:tcPr>
            <w:tcW w:w="14126" w:type="dxa"/>
            <w:shd w:val="clear" w:color="auto" w:fill="F7F7F7"/>
            <w:vAlign w:val="center"/>
          </w:tcPr>
          <w:p w14:paraId="4C88FC13" w14:textId="77777777" w:rsidR="00AA4620" w:rsidRPr="00A95B97" w:rsidRDefault="00AA4620" w:rsidP="007463F5">
            <w:pPr>
              <w:keepNext/>
              <w:keepLines/>
              <w:rPr>
                <w:rFonts w:ascii="Calibri" w:eastAsia="Times New Roman" w:hAnsi="Calibri" w:cs="Times New Roman"/>
                <w:b/>
                <w:color w:val="172D5F"/>
              </w:rPr>
            </w:pPr>
            <w:r>
              <w:rPr>
                <w:rFonts w:ascii="Calibri" w:hAnsi="Calibri" w:cs="Times New Roman"/>
                <w:b/>
                <w:color w:val="172D5F"/>
              </w:rPr>
              <w:lastRenderedPageBreak/>
              <w:t>Intermediate Results Indicators by Components</w:t>
            </w:r>
          </w:p>
        </w:tc>
      </w:tr>
    </w:tbl>
    <w:p w14:paraId="044CD4E5" w14:textId="77777777" w:rsidR="00AA4620" w:rsidRDefault="00AA4620" w:rsidP="00AA4620">
      <w:pPr>
        <w:keepNext/>
        <w:keepLines/>
        <w:shd w:val="clear" w:color="auto" w:fill="F7F7F7"/>
        <w:spacing w:line="14" w:lineRule="exact"/>
        <w:ind w:left="-691" w:right="-418"/>
        <w:rPr>
          <w:b/>
          <w:bCs/>
          <w:color w:val="7F7F7F" w:themeColor="text1" w:themeTint="80"/>
        </w:rPr>
      </w:pPr>
    </w:p>
    <w:tbl>
      <w:tblPr>
        <w:tblW w:w="141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AA4620" w14:paraId="41B9EA02" w14:textId="77777777" w:rsidTr="007463F5">
        <w:trPr>
          <w:trHeight w:val="20"/>
          <w:tblHeader/>
        </w:trPr>
        <w:tc>
          <w:tcPr>
            <w:tcW w:w="4035" w:type="dxa"/>
            <w:tcBorders>
              <w:top w:val="nil"/>
              <w:left w:val="nil"/>
              <w:bottom w:val="single" w:sz="4" w:space="0" w:color="D9D9D9"/>
              <w:right w:val="nil"/>
            </w:tcBorders>
            <w:shd w:val="clear" w:color="auto" w:fill="F7F7F7"/>
            <w:vAlign w:val="center"/>
          </w:tcPr>
          <w:p w14:paraId="1290048D" w14:textId="77777777" w:rsidR="00AA4620" w:rsidRPr="008C782D" w:rsidRDefault="00AA4620" w:rsidP="007463F5">
            <w:pPr>
              <w:keepNext/>
              <w:keepLines/>
              <w:spacing w:before="100" w:beforeAutospacing="1" w:after="100" w:afterAutospacing="1" w:line="14" w:lineRule="exact"/>
              <w:ind w:left="115"/>
              <w:rPr>
                <w:rFonts w:cstheme="minorHAnsi"/>
                <w:b/>
                <w:color w:val="F7F7F7"/>
                <w:sz w:val="2"/>
                <w:szCs w:val="2"/>
              </w:rPr>
            </w:pPr>
            <w:r w:rsidRPr="008C782D">
              <w:rPr>
                <w:rFonts w:cstheme="minorHAnsi"/>
                <w:b/>
                <w:color w:val="F7F7F7"/>
                <w:sz w:val="2"/>
                <w:szCs w:val="2"/>
              </w:rPr>
              <w:t>RESULT_FRAME_TBL_IO</w:t>
            </w:r>
          </w:p>
        </w:tc>
        <w:tc>
          <w:tcPr>
            <w:tcW w:w="447" w:type="dxa"/>
            <w:tcBorders>
              <w:top w:val="nil"/>
              <w:left w:val="nil"/>
              <w:bottom w:val="single" w:sz="4" w:space="0" w:color="D9D9D9"/>
              <w:right w:val="nil"/>
            </w:tcBorders>
            <w:shd w:val="clear" w:color="auto" w:fill="F7F7F7"/>
            <w:vAlign w:val="center"/>
          </w:tcPr>
          <w:p w14:paraId="3A0B40E8" w14:textId="77777777" w:rsidR="00AA4620" w:rsidRPr="008C782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top w:val="nil"/>
              <w:left w:val="nil"/>
              <w:bottom w:val="single" w:sz="4" w:space="0" w:color="D9D9D9"/>
              <w:right w:val="nil"/>
            </w:tcBorders>
            <w:shd w:val="clear" w:color="auto" w:fill="F7F7F7"/>
            <w:vAlign w:val="center"/>
          </w:tcPr>
          <w:p w14:paraId="5CC5DA26" w14:textId="77777777" w:rsidR="00AA4620" w:rsidRPr="008C782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top w:val="nil"/>
              <w:left w:val="nil"/>
              <w:bottom w:val="single" w:sz="4" w:space="0" w:color="D9D9D9"/>
              <w:right w:val="nil"/>
            </w:tcBorders>
            <w:shd w:val="clear" w:color="auto" w:fill="F7F7F7"/>
            <w:vAlign w:val="center"/>
          </w:tcPr>
          <w:p w14:paraId="2D4EC3CA" w14:textId="77777777" w:rsidR="00AA4620" w:rsidRPr="008C782D" w:rsidRDefault="00AA4620" w:rsidP="007463F5">
            <w:pPr>
              <w:keepNext/>
              <w:keepLines/>
              <w:spacing w:before="100" w:beforeAutospacing="1" w:after="100" w:afterAutospacing="1" w:line="14" w:lineRule="exact"/>
              <w:ind w:left="115"/>
              <w:jc w:val="center"/>
              <w:rPr>
                <w:rFonts w:cstheme="minorHAnsi"/>
                <w:b/>
                <w:color w:val="F7F7F7"/>
                <w:sz w:val="2"/>
                <w:szCs w:val="2"/>
              </w:rPr>
            </w:pPr>
          </w:p>
        </w:tc>
      </w:tr>
      <w:tr w:rsidR="00AA4620" w14:paraId="01F82A07" w14:textId="77777777" w:rsidTr="007463F5">
        <w:trPr>
          <w:trHeight w:val="20"/>
          <w:tblHeader/>
        </w:trPr>
        <w:tc>
          <w:tcPr>
            <w:tcW w:w="4035" w:type="dxa"/>
            <w:tcBorders>
              <w:top w:val="single" w:sz="4" w:space="0" w:color="D9D9D9"/>
              <w:left w:val="single" w:sz="4" w:space="0" w:color="D9D9D9"/>
              <w:bottom w:val="nil"/>
              <w:right w:val="single" w:sz="4" w:space="0" w:color="D9D9D9"/>
            </w:tcBorders>
            <w:shd w:val="clear" w:color="auto" w:fill="F7F7F7"/>
            <w:vAlign w:val="center"/>
          </w:tcPr>
          <w:p w14:paraId="14532F76" w14:textId="77777777" w:rsidR="00AA4620" w:rsidRPr="00250A13" w:rsidRDefault="00AA4620"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bottom w:val="nil"/>
              <w:right w:val="single" w:sz="4" w:space="0" w:color="D9D9D9"/>
            </w:tcBorders>
            <w:shd w:val="clear" w:color="auto" w:fill="F7F7F7"/>
            <w:vAlign w:val="center"/>
          </w:tcPr>
          <w:p w14:paraId="56508873" w14:textId="77777777" w:rsidR="00AA4620" w:rsidRPr="00250A13" w:rsidRDefault="00AA4620" w:rsidP="007463F5">
            <w:pPr>
              <w:keepNext/>
              <w:keepLines/>
              <w:spacing w:before="60" w:after="60"/>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bottom w:val="nil"/>
              <w:right w:val="single" w:sz="4" w:space="0" w:color="D9D9D9"/>
            </w:tcBorders>
            <w:shd w:val="clear" w:color="auto" w:fill="F7F7F7"/>
            <w:vAlign w:val="center"/>
          </w:tcPr>
          <w:p w14:paraId="6A8F81A9"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bottom w:val="nil"/>
              <w:right w:val="single" w:sz="4" w:space="0" w:color="D9D9D9"/>
            </w:tcBorders>
            <w:shd w:val="clear" w:color="auto" w:fill="F7F7F7"/>
            <w:vAlign w:val="center"/>
          </w:tcPr>
          <w:p w14:paraId="1E6E2117" w14:textId="77777777" w:rsidR="00AA4620" w:rsidRPr="00250A13" w:rsidRDefault="00AA4620"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AA4620" w14:paraId="1038B3A7" w14:textId="77777777" w:rsidTr="007463F5">
        <w:trPr>
          <w:trHeight w:val="20"/>
          <w:tblHeader/>
        </w:trPr>
        <w:tc>
          <w:tcPr>
            <w:tcW w:w="4035" w:type="dxa"/>
            <w:tcBorders>
              <w:top w:val="nil"/>
              <w:left w:val="single" w:sz="4" w:space="0" w:color="D9D9D9"/>
              <w:bottom w:val="single" w:sz="4" w:space="0" w:color="D9D9D9"/>
              <w:right w:val="single" w:sz="4" w:space="0" w:color="D9D9D9"/>
            </w:tcBorders>
            <w:shd w:val="clear" w:color="auto" w:fill="F7F7F7"/>
            <w:vAlign w:val="center"/>
          </w:tcPr>
          <w:p w14:paraId="28710AA3" w14:textId="77777777" w:rsidR="00AA4620" w:rsidRPr="00252C83" w:rsidRDefault="00AA4620" w:rsidP="007463F5">
            <w:pPr>
              <w:spacing w:before="60" w:after="60"/>
              <w:ind w:left="115"/>
              <w:rPr>
                <w:b/>
                <w:color w:val="002060"/>
              </w:rPr>
            </w:pPr>
          </w:p>
        </w:tc>
        <w:tc>
          <w:tcPr>
            <w:tcW w:w="447" w:type="dxa"/>
            <w:tcBorders>
              <w:top w:val="nil"/>
              <w:left w:val="single" w:sz="4" w:space="0" w:color="D9D9D9"/>
              <w:bottom w:val="single" w:sz="4" w:space="0" w:color="D9D9D9"/>
              <w:right w:val="single" w:sz="4" w:space="0" w:color="D9D9D9"/>
            </w:tcBorders>
            <w:shd w:val="clear" w:color="auto" w:fill="F7F7F7"/>
            <w:vAlign w:val="center"/>
          </w:tcPr>
          <w:p w14:paraId="13B1DC9F" w14:textId="77777777" w:rsidR="00AA4620" w:rsidRPr="00252C83" w:rsidRDefault="00AA4620" w:rsidP="007463F5">
            <w:pPr>
              <w:spacing w:before="60" w:after="60"/>
              <w:ind w:left="115"/>
              <w:rPr>
                <w:b/>
                <w:color w:val="002060"/>
              </w:rPr>
            </w:pPr>
          </w:p>
        </w:tc>
        <w:tc>
          <w:tcPr>
            <w:tcW w:w="3603" w:type="dxa"/>
            <w:tcBorders>
              <w:top w:val="nil"/>
              <w:left w:val="single" w:sz="4" w:space="0" w:color="D9D9D9"/>
              <w:bottom w:val="single" w:sz="4" w:space="0" w:color="D9D9D9"/>
              <w:right w:val="single" w:sz="4" w:space="0" w:color="D9D9D9"/>
            </w:tcBorders>
            <w:shd w:val="clear" w:color="auto" w:fill="F7F7F7"/>
            <w:vAlign w:val="center"/>
          </w:tcPr>
          <w:p w14:paraId="29697C3B" w14:textId="77777777" w:rsidR="00AA4620" w:rsidRPr="00D73445" w:rsidRDefault="00AA4620" w:rsidP="007463F5">
            <w:pPr>
              <w:keepNext/>
              <w:keepLines/>
              <w:spacing w:before="60" w:after="60"/>
              <w:rPr>
                <w:b/>
                <w:color w:val="002060"/>
              </w:rPr>
            </w:pPr>
          </w:p>
        </w:tc>
        <w:tc>
          <w:tcPr>
            <w:tcW w:w="3615" w:type="dxa"/>
            <w:tcBorders>
              <w:top w:val="nil"/>
              <w:left w:val="single" w:sz="4" w:space="0" w:color="D9D9D9"/>
              <w:bottom w:val="single" w:sz="4" w:space="0" w:color="D9D9D9"/>
              <w:right w:val="single" w:sz="4" w:space="0" w:color="D9D9D9"/>
            </w:tcBorders>
            <w:shd w:val="clear" w:color="auto" w:fill="F7F7F7"/>
            <w:vAlign w:val="center"/>
          </w:tcPr>
          <w:p w14:paraId="4ECFAD50" w14:textId="77777777" w:rsidR="00AA4620" w:rsidRPr="00252C83" w:rsidRDefault="00AA4620" w:rsidP="007463F5">
            <w:pPr>
              <w:spacing w:before="60" w:after="60"/>
              <w:rPr>
                <w:b/>
                <w:color w:val="002060"/>
              </w:rPr>
            </w:pPr>
          </w:p>
        </w:tc>
      </w:tr>
      <w:tr w:rsidR="00AA4620" w14:paraId="364DE2C7"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6A50BC1F" w14:textId="77777777" w:rsidR="00AA4620" w:rsidRPr="00D97597" w:rsidRDefault="00AA4620" w:rsidP="007463F5">
            <w:pPr>
              <w:ind w:left="75"/>
              <w:rPr>
                <w:rFonts w:cstheme="minorHAnsi"/>
                <w:sz w:val="18"/>
                <w:szCs w:val="18"/>
              </w:rPr>
            </w:pPr>
            <w:r>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AA4620" w14:paraId="486EAA8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01CD40"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E-waste management and mercury use benchmarked in participating countries (volume/Mt) through the regional platform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2BEBB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CFF832E"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586D8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B27247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902E9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58503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0B17E5"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A05699"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FE054A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ADDC7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EEA946"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E0D48B"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D46CAD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6ECFC52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1B52A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3E5996"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FF9A93"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D9AD0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44E68AB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3CB3A51"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89047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7D8800"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7D72D02"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15817B4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64FC14"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27646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44AFA6"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13250F"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203F0E3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64246C"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Trained inspection officers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D608D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1E167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51B94F" w14:textId="77777777" w:rsidR="00AA4620" w:rsidRPr="00D97597" w:rsidRDefault="00AA4620" w:rsidP="007463F5">
            <w:pPr>
              <w:spacing w:before="40"/>
              <w:rPr>
                <w:rFonts w:cstheme="minorHAnsi"/>
                <w:sz w:val="18"/>
                <w:szCs w:val="18"/>
              </w:rPr>
            </w:pPr>
            <w:r>
              <w:rPr>
                <w:rFonts w:cstheme="minorHAnsi"/>
                <w:noProof/>
                <w:sz w:val="18"/>
                <w:szCs w:val="18"/>
              </w:rPr>
              <w:t>110.00</w:t>
            </w:r>
          </w:p>
        </w:tc>
      </w:tr>
      <w:tr w:rsidR="00AA4620" w14:paraId="1420469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118ABB"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04029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E4792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09AC35"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22FA71C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40164C"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A4317B"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0B2DA7"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E31DC9" w14:textId="77777777" w:rsidR="00AA4620" w:rsidRPr="00D97597" w:rsidRDefault="00AA4620" w:rsidP="007463F5">
            <w:pPr>
              <w:spacing w:before="40"/>
              <w:rPr>
                <w:rFonts w:cstheme="minorHAnsi"/>
                <w:sz w:val="18"/>
                <w:szCs w:val="18"/>
              </w:rPr>
            </w:pPr>
            <w:r>
              <w:rPr>
                <w:rFonts w:cstheme="minorHAnsi"/>
                <w:noProof/>
                <w:sz w:val="18"/>
                <w:szCs w:val="18"/>
              </w:rPr>
              <w:t>30.00</w:t>
            </w:r>
          </w:p>
        </w:tc>
      </w:tr>
      <w:tr w:rsidR="00AA4620" w14:paraId="64D6609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EAA26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65001D"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C24974"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88B6B7"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0745FB9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43B5EE"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lastRenderedPageBreak/>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3A72CB9"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6B9711"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8F2331"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4074E4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D1EC8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6BEFF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E22A1A"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7610F3" w14:textId="77777777" w:rsidR="00AA4620" w:rsidRPr="00D97597" w:rsidRDefault="00AA4620" w:rsidP="007463F5">
            <w:pPr>
              <w:spacing w:before="40"/>
              <w:rPr>
                <w:rFonts w:cstheme="minorHAnsi"/>
                <w:sz w:val="18"/>
                <w:szCs w:val="18"/>
              </w:rPr>
            </w:pPr>
            <w:r>
              <w:rPr>
                <w:rFonts w:cstheme="minorHAnsi"/>
                <w:noProof/>
                <w:sz w:val="18"/>
                <w:szCs w:val="18"/>
              </w:rPr>
              <w:t>20.00</w:t>
            </w:r>
          </w:p>
        </w:tc>
      </w:tr>
      <w:tr w:rsidR="00AA4620" w14:paraId="4F4258A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61E756"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Communities involved in planning, implementation and evaluation of demonstration pilots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F4C467"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1F8E6A"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BA76109" w14:textId="77777777" w:rsidR="00AA4620" w:rsidRPr="00D97597" w:rsidRDefault="00AA4620" w:rsidP="007463F5">
            <w:pPr>
              <w:spacing w:before="40"/>
              <w:rPr>
                <w:rFonts w:cstheme="minorHAnsi"/>
                <w:sz w:val="18"/>
                <w:szCs w:val="18"/>
              </w:rPr>
            </w:pPr>
            <w:r>
              <w:rPr>
                <w:rFonts w:cstheme="minorHAnsi"/>
                <w:noProof/>
                <w:sz w:val="18"/>
                <w:szCs w:val="18"/>
              </w:rPr>
              <w:t>10.00</w:t>
            </w:r>
          </w:p>
        </w:tc>
      </w:tr>
      <w:tr w:rsidR="00AA4620" w14:paraId="5235612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4FFC5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8FC71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D53CA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85C723"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59A10A8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DD146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6450D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7F16E2"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D9DCBD1"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48F4E42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1DFC1E"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5DD647"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F2314A"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59D95F"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5E0C221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E1B9C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A1130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6410F8"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6EBC5B2"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6AD14D3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83CF4E"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B490B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21A5B5"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DF050B"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0D51284C"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7A8CF99E" w14:textId="77777777" w:rsidR="00AA4620" w:rsidRPr="00D97597" w:rsidRDefault="00AA4620" w:rsidP="007463F5">
            <w:pPr>
              <w:ind w:left="75"/>
              <w:rPr>
                <w:rFonts w:cstheme="minorHAnsi"/>
                <w:sz w:val="18"/>
                <w:szCs w:val="18"/>
              </w:rPr>
            </w:pPr>
            <w:r>
              <w:rPr>
                <w:rFonts w:ascii="Calibri" w:eastAsia="Calibri" w:hAnsi="Calibri" w:cs="Calibri"/>
                <w:b/>
                <w:bCs/>
                <w:noProof/>
                <w:sz w:val="18"/>
                <w:szCs w:val="18"/>
              </w:rPr>
              <w:t>Policy Dialogue and Regulatory Enhancements</w:t>
            </w:r>
            <w:r>
              <w:rPr>
                <w:rFonts w:eastAsia="Times New Roman" w:cstheme="minorHAnsi"/>
                <w:sz w:val="18"/>
                <w:szCs w:val="18"/>
              </w:rPr>
              <w:t xml:space="preserve"> </w:t>
            </w:r>
          </w:p>
        </w:tc>
      </w:tr>
      <w:tr w:rsidR="00AA4620" w14:paraId="47179D9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83B5DC"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Guidelines and checklists for stakeholders and workers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E4B959"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A77210"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CF846A"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43B2A6A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06785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434F16"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3DE2BA"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2FA3FB"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881DBB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B13A87"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1F144D"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5A9DD9"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665970"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8044AB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D757B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lastRenderedPageBreak/>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4C1B6F"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C54E03"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4E9703"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3845D04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B26B34"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2C769E1"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735BB39"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5C556B"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771F6C0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54D92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1AF245"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CD4A1C"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A0F68D"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405985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7FCBC5"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Stakeholder communication strategy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B8F0D9"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FC9C16"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FCB702"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7E31B28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B2794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E2942B"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15B22A4"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4CD26E"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0E0882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9AECD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7BC67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7AD54C"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559276"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4CC9220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D3ADA9"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BA0B68"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546002"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F414A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278F997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2B852A"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A08A8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F02B73"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BFA7A7"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565C30F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AFE73D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AEFF9C"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90CADB"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FC2FC76"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12760C5"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29CEE4AC" w14:textId="77777777" w:rsidR="00AA4620" w:rsidRPr="00D97597" w:rsidRDefault="00AA4620" w:rsidP="007463F5">
            <w:pPr>
              <w:ind w:left="75"/>
              <w:rPr>
                <w:rFonts w:cstheme="minorHAnsi"/>
                <w:sz w:val="18"/>
                <w:szCs w:val="18"/>
              </w:rPr>
            </w:pPr>
            <w:r>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AA4620" w14:paraId="238CAC8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B82794"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Training events for relevant stakeholders conducted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D3339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6E9FC4"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F3E45E" w14:textId="77777777" w:rsidR="00AA4620" w:rsidRPr="00D97597" w:rsidRDefault="00AA4620" w:rsidP="007463F5">
            <w:pPr>
              <w:spacing w:before="40"/>
              <w:rPr>
                <w:rFonts w:cstheme="minorHAnsi"/>
                <w:sz w:val="18"/>
                <w:szCs w:val="18"/>
              </w:rPr>
            </w:pPr>
            <w:r>
              <w:rPr>
                <w:rFonts w:cstheme="minorHAnsi"/>
                <w:noProof/>
                <w:sz w:val="18"/>
                <w:szCs w:val="18"/>
              </w:rPr>
              <w:t>10.00</w:t>
            </w:r>
          </w:p>
        </w:tc>
      </w:tr>
      <w:tr w:rsidR="00AA4620" w14:paraId="14897B8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C3DB0F"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2B7BFBF"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43A813"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93C8C1"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0A0811E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5443E7"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BDE3A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D3B636"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02446D"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32AA58B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A34140"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lastRenderedPageBreak/>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0B23E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26CD48B"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22B5EF"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36AE5A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19EB26"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5EF104"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50E29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12C222"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1DF29AC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9C1C4C5"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A692C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5ACF7E" w14:textId="77777777" w:rsidR="00AA4620" w:rsidRPr="00D97597" w:rsidRDefault="00AA4620"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D6C28D" w14:textId="77777777" w:rsidR="00AA4620" w:rsidRPr="00D97597" w:rsidRDefault="00AA4620" w:rsidP="007463F5">
            <w:pPr>
              <w:spacing w:before="40"/>
              <w:rPr>
                <w:rFonts w:cstheme="minorHAnsi"/>
                <w:sz w:val="18"/>
                <w:szCs w:val="18"/>
              </w:rPr>
            </w:pPr>
            <w:r>
              <w:rPr>
                <w:rFonts w:cstheme="minorHAnsi"/>
                <w:noProof/>
                <w:sz w:val="18"/>
                <w:szCs w:val="18"/>
              </w:rPr>
              <w:t>2.00</w:t>
            </w:r>
          </w:p>
        </w:tc>
      </w:tr>
      <w:tr w:rsidR="00AA4620" w14:paraId="06978AC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27976E" w14:textId="77777777" w:rsidR="00AA4620" w:rsidRPr="00D97597" w:rsidRDefault="00AA4620" w:rsidP="007463F5">
            <w:pPr>
              <w:ind w:left="75"/>
              <w:rPr>
                <w:rFonts w:cstheme="minorHAnsi"/>
                <w:sz w:val="18"/>
                <w:szCs w:val="18"/>
              </w:rPr>
            </w:pPr>
            <w:r>
              <w:rPr>
                <w:rFonts w:ascii="Calibri" w:eastAsia="Calibri" w:hAnsi="Calibri" w:cs="Calibri"/>
                <w:noProof/>
                <w:sz w:val="18"/>
                <w:szCs w:val="18"/>
              </w:rPr>
              <w:t>Private sector in selected pilot project sites engaged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E95571"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7F9AE8"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667B5D"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2FDDCA6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B3047F"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C07C0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76367DE"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94A07E"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30DD74E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AA9C573"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08C14B"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EC1F09"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6F4600"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7AEFFCA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D97298"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0DF40E"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5897D4"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C55238"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6503CCE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BC18A9"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0AF99D"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16DD4B"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34573F" w14:textId="77777777" w:rsidR="00AA4620" w:rsidRPr="00D97597" w:rsidRDefault="00AA4620" w:rsidP="007463F5">
            <w:pPr>
              <w:spacing w:before="40"/>
              <w:rPr>
                <w:rFonts w:cstheme="minorHAnsi"/>
                <w:sz w:val="18"/>
                <w:szCs w:val="18"/>
              </w:rPr>
            </w:pPr>
            <w:r>
              <w:rPr>
                <w:rFonts w:cstheme="minorHAnsi"/>
                <w:noProof/>
                <w:sz w:val="18"/>
                <w:szCs w:val="18"/>
              </w:rPr>
              <w:t>Yes</w:t>
            </w:r>
          </w:p>
        </w:tc>
      </w:tr>
      <w:tr w:rsidR="00AA4620" w14:paraId="00E2980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D96D0C" w14:textId="77777777" w:rsidR="00AA4620" w:rsidRDefault="00AA4620"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39541A" w14:textId="77777777" w:rsidR="00AA4620" w:rsidRPr="00D97597" w:rsidRDefault="00AA4620"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5C551E" w14:textId="77777777" w:rsidR="00AA4620" w:rsidRPr="00D97597" w:rsidRDefault="00AA4620"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3A3A7D" w14:textId="77777777" w:rsidR="00AA4620" w:rsidRPr="00D97597" w:rsidRDefault="00AA4620" w:rsidP="007463F5">
            <w:pPr>
              <w:spacing w:before="40"/>
              <w:rPr>
                <w:rFonts w:cstheme="minorHAnsi"/>
                <w:sz w:val="18"/>
                <w:szCs w:val="18"/>
              </w:rPr>
            </w:pPr>
            <w:r>
              <w:rPr>
                <w:rFonts w:cstheme="minorHAnsi"/>
                <w:noProof/>
                <w:sz w:val="18"/>
                <w:szCs w:val="18"/>
              </w:rPr>
              <w:t>Yes</w:t>
            </w:r>
          </w:p>
        </w:tc>
      </w:tr>
    </w:tbl>
    <w:p w14:paraId="0FEF8E2E" w14:textId="77777777" w:rsidR="00AA4620" w:rsidRDefault="00AA4620" w:rsidP="00AA4620">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AA4620" w14:paraId="2980F231" w14:textId="77777777" w:rsidTr="007463F5">
        <w:trPr>
          <w:trHeight w:val="576"/>
        </w:trPr>
        <w:tc>
          <w:tcPr>
            <w:tcW w:w="14096" w:type="dxa"/>
            <w:shd w:val="clear" w:color="auto" w:fill="F7F7F7"/>
          </w:tcPr>
          <w:p w14:paraId="742E2651" w14:textId="77777777" w:rsidR="00AA4620" w:rsidRDefault="00AA4620" w:rsidP="007463F5">
            <w:pPr>
              <w:ind w:right="-418"/>
              <w:rPr>
                <w:b/>
                <w:bCs/>
                <w:color w:val="7F7F7F" w:themeColor="text1" w:themeTint="80"/>
              </w:rPr>
            </w:pPr>
            <w:r w:rsidRPr="006E7105">
              <w:rPr>
                <w:b/>
                <w:bCs/>
                <w:color w:val="F7F7F7"/>
              </w:rPr>
              <w:t>IO Table SPACE</w:t>
            </w:r>
          </w:p>
        </w:tc>
      </w:tr>
    </w:tbl>
    <w:p w14:paraId="5CC8CAE5" w14:textId="2A6215F5" w:rsidR="00733148" w:rsidRDefault="00733148" w:rsidP="00AE2073">
      <w:pPr>
        <w:spacing w:after="0" w:line="240" w:lineRule="auto"/>
        <w:ind w:right="-691"/>
      </w:pPr>
    </w:p>
    <w:p w14:paraId="265EF128" w14:textId="77777777" w:rsidR="00733148" w:rsidRDefault="00733148" w:rsidP="007463F5">
      <w:pPr>
        <w:ind w:left="-792"/>
        <w:rPr>
          <w:b/>
          <w:bCs/>
          <w:color w:val="7F7F7F" w:themeColor="text1" w:themeTint="80"/>
        </w:rPr>
        <w:sectPr w:rsidR="00733148" w:rsidSect="00F81AC2">
          <w:headerReference w:type="even" r:id="rId32"/>
          <w:headerReference w:type="default" r:id="rId33"/>
          <w:footerReference w:type="default" r:id="rId34"/>
          <w:headerReference w:type="first" r:id="rId35"/>
          <w:pgSz w:w="15840" w:h="12240" w:orient="landscape"/>
          <w:pgMar w:top="1440" w:right="1440" w:bottom="1440" w:left="1440" w:header="720" w:footer="720" w:gutter="0"/>
          <w:cols w:space="720"/>
          <w:docGrid w:linePitch="360"/>
        </w:sectPr>
      </w:pPr>
    </w:p>
    <w:sdt>
      <w:sdtPr>
        <w:rPr>
          <w:b/>
          <w:bCs/>
          <w:color w:val="7F7F7F" w:themeColor="background1" w:themeShade="7F"/>
        </w:rPr>
        <w:id w:val="802446160"/>
        <w:lock w:val="contentLocked"/>
        <w:placeholder>
          <w:docPart w:val="8BC3695349A8436C8D40956A163F3197"/>
        </w:placeholder>
        <w:showingPlcHdr/>
      </w:sdtPr>
      <w:sdtEndPr/>
      <w:sdtContent>
        <w:p w14:paraId="4364EBBA" w14:textId="77777777" w:rsidR="00733148" w:rsidRDefault="00733148" w:rsidP="007463F5">
          <w:pPr>
            <w:spacing w:line="14" w:lineRule="exact"/>
            <w:ind w:left="-691" w:right="-418"/>
            <w:rPr>
              <w:b/>
              <w:bCs/>
              <w:color w:val="7F7F7F" w:themeColor="text1" w:themeTint="80"/>
            </w:rPr>
          </w:pPr>
          <w:r>
            <w:rPr>
              <w:b/>
              <w:bCs/>
              <w:color w:val="7F7F7F" w:themeColor="text1" w:themeTint="80"/>
            </w:rPr>
            <w:t xml:space="preserve"> </w:t>
          </w:r>
        </w:p>
      </w:sdtContent>
    </w:sdt>
    <w:p w14:paraId="11B42813" w14:textId="77777777" w:rsidR="00733148" w:rsidRDefault="00733148" w:rsidP="007463F5">
      <w:pPr>
        <w:ind w:left="-691" w:right="-418"/>
        <w:rPr>
          <w:b/>
          <w:bCs/>
          <w:color w:val="7F7F7F" w:themeColor="text1" w:themeTint="80"/>
        </w:rPr>
        <w:sectPr w:rsidR="00733148" w:rsidSect="00A96F74">
          <w:type w:val="continuous"/>
          <w:pgSz w:w="15840" w:h="12240" w:orient="landscape"/>
          <w:pgMar w:top="1440" w:right="1440" w:bottom="1440" w:left="1440" w:header="720" w:footer="720" w:gutter="0"/>
          <w:cols w:space="720"/>
          <w:docGrid w:linePitch="360"/>
        </w:sectPr>
      </w:pPr>
    </w:p>
    <w:p w14:paraId="47720ACA" w14:textId="77777777" w:rsidR="00733148" w:rsidRPr="00735935" w:rsidRDefault="008F34B0" w:rsidP="007463F5">
      <w:pPr>
        <w:spacing w:line="14" w:lineRule="exact"/>
        <w:ind w:left="-691" w:right="-418"/>
        <w:rPr>
          <w:b/>
          <w:bCs/>
          <w:color w:val="7F7F7F" w:themeColor="text1" w:themeTint="80"/>
        </w:rPr>
      </w:pPr>
      <w:sdt>
        <w:sdtPr>
          <w:rPr>
            <w:b/>
            <w:bCs/>
            <w:color w:val="7F7F7F" w:themeColor="text1" w:themeTint="80"/>
          </w:rPr>
          <w:tag w:val="OPS_CORE_SECTION_START_13"/>
          <w:id w:val="767465937"/>
          <w:lock w:val="contentLocked"/>
          <w:placeholder>
            <w:docPart w:val="FFD8A41E47534379B344D62DD44DA2C3"/>
          </w:placeholder>
        </w:sdtPr>
        <w:sdtEndPr/>
        <w:sdtContent>
          <w:r w:rsidR="00733148" w:rsidRPr="00735935">
            <w:rPr>
              <w:b/>
              <w:bCs/>
              <w:color w:val="7F7F7F" w:themeColor="text1" w:themeTint="80"/>
            </w:rPr>
            <w:t xml:space="preserve"> </w:t>
          </w:r>
        </w:sdtContent>
      </w:sdt>
    </w:p>
    <w:p w14:paraId="7D14AF76" w14:textId="77777777" w:rsidR="00733148" w:rsidRDefault="00733148" w:rsidP="007463F5">
      <w:pPr>
        <w:spacing w:line="14" w:lineRule="exact"/>
        <w:ind w:left="-691" w:right="-418"/>
        <w:rPr>
          <w:b/>
          <w:bCs/>
          <w:color w:val="7F7F7F" w:themeColor="text1" w:themeTint="80"/>
        </w:rPr>
      </w:pPr>
    </w:p>
    <w:tbl>
      <w:tblPr>
        <w:tblStyle w:val="TableGrid230"/>
        <w:tblW w:w="14130"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ayout w:type="fixed"/>
        <w:tblLook w:val="04A0" w:firstRow="1" w:lastRow="0" w:firstColumn="1" w:lastColumn="0" w:noHBand="0" w:noVBand="1"/>
      </w:tblPr>
      <w:tblGrid>
        <w:gridCol w:w="14130"/>
      </w:tblGrid>
      <w:tr w:rsidR="00733148" w14:paraId="0D1E4F9E" w14:textId="77777777" w:rsidTr="007463F5">
        <w:tc>
          <w:tcPr>
            <w:tcW w:w="14130" w:type="dxa"/>
            <w:shd w:val="clear" w:color="auto" w:fill="F7F7F7"/>
          </w:tcPr>
          <w:p w14:paraId="1D9C3808" w14:textId="77777777" w:rsidR="00733148" w:rsidRPr="00934FB8" w:rsidRDefault="00733148" w:rsidP="007463F5">
            <w:pPr>
              <w:jc w:val="center"/>
              <w:rPr>
                <w:b/>
                <w:caps/>
              </w:rPr>
            </w:pPr>
            <w:r>
              <w:rPr>
                <w:noProof/>
              </w:rPr>
              <mc:AlternateContent>
                <mc:Choice Requires="wps">
                  <w:drawing>
                    <wp:anchor distT="0" distB="0" distL="114300" distR="114300" simplePos="0" relativeHeight="251671552" behindDoc="0" locked="0" layoutInCell="1" allowOverlap="1" wp14:anchorId="72B84421" wp14:editId="221A8B71">
                      <wp:simplePos x="0" y="0"/>
                      <wp:positionH relativeFrom="column">
                        <wp:posOffset>-584200</wp:posOffset>
                      </wp:positionH>
                      <wp:positionV relativeFrom="paragraph">
                        <wp:posOffset>-17145</wp:posOffset>
                      </wp:positionV>
                      <wp:extent cx="10113645" cy="0"/>
                      <wp:effectExtent l="0" t="0" r="1905" b="19050"/>
                      <wp:wrapNone/>
                      <wp:docPr id="228" name="Straight Connector 228"/>
                      <wp:cNvGraphicFramePr/>
                      <a:graphic xmlns:a="http://schemas.openxmlformats.org/drawingml/2006/main">
                        <a:graphicData uri="http://schemas.microsoft.com/office/word/2010/wordprocessingShape">
                          <wps:wsp>
                            <wps:cNvCnPr/>
                            <wps:spPr>
                              <a:xfrm>
                                <a:off x="0" y="0"/>
                                <a:ext cx="10113645" cy="0"/>
                              </a:xfrm>
                              <a:prstGeom prst="line">
                                <a:avLst/>
                              </a:prstGeom>
                              <a:ln w="9525">
                                <a:solidFill>
                                  <a:schemeClr val="tx1">
                                    <a:lumMod val="50000"/>
                                    <a:lumOff val="50000"/>
                                    <a:alpha val="40000"/>
                                  </a:schemeClr>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FB3E26" id="Straight Connector 22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pt,-1.35pt" to="750.35pt,-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" strokecolor="gray [1629]">
                      <v:stroke dashstyle="dash" opacity="26214f" joinstyle="miter"/>
                    </v:line>
                  </w:pict>
                </mc:Fallback>
              </mc:AlternateContent>
            </w:r>
            <w:r w:rsidRPr="00934FB8">
              <w:rPr>
                <w:b/>
                <w:color w:val="0D0D0D" w:themeColor="text1" w:themeTint="F2"/>
              </w:rPr>
              <w:t>Results Framework</w:t>
            </w:r>
          </w:p>
        </w:tc>
      </w:tr>
      <w:tr w:rsidR="00733148" w14:paraId="7F0304AB" w14:textId="77777777" w:rsidTr="007463F5">
        <w:trPr>
          <w:trHeight w:val="432"/>
        </w:trPr>
        <w:tc>
          <w:tcPr>
            <w:tcW w:w="14130" w:type="dxa"/>
            <w:shd w:val="clear" w:color="auto" w:fill="F7F7F7"/>
          </w:tcPr>
          <w:p w14:paraId="5EE12987" w14:textId="77777777" w:rsidR="00733148" w:rsidRDefault="00733148" w:rsidP="007463F5">
            <w:pPr>
              <w:jc w:val="center"/>
              <w:rPr>
                <w:noProof/>
              </w:rPr>
            </w:pPr>
            <w:r>
              <w:rPr>
                <w:b/>
                <w:bCs/>
                <w:color w:val="767171" w:themeColor="background2" w:themeShade="80"/>
              </w:rPr>
              <w:t>COUNTRY</w:t>
            </w:r>
            <w:r w:rsidRPr="00793F6E">
              <w:rPr>
                <w:b/>
                <w:bCs/>
                <w:color w:val="767171" w:themeColor="background2" w:themeShade="80"/>
              </w:rPr>
              <w:t xml:space="preserve">: </w:t>
            </w:r>
            <w:r w:rsidRPr="00793F6E">
              <w:rPr>
                <w:b/>
                <w:bCs/>
                <w:noProof/>
                <w:color w:val="767171" w:themeColor="background2" w:themeShade="80"/>
              </w:rPr>
              <w:t>Africa</w:t>
            </w:r>
            <w:r w:rsidRPr="00793F6E">
              <w:rPr>
                <w:b/>
                <w:bCs/>
                <w:color w:val="767171" w:themeColor="background2" w:themeShade="80"/>
              </w:rPr>
              <w:t xml:space="preserve"> </w:t>
            </w:r>
            <w:r w:rsidRPr="00793F6E">
              <w:rPr>
                <w:b/>
                <w:bCs/>
                <w:color w:val="767171" w:themeColor="background2" w:themeShade="80"/>
              </w:rPr>
              <w:br/>
            </w:r>
            <w:r w:rsidRPr="002C6736">
              <w:rPr>
                <w:b/>
                <w:bCs/>
                <w:noProof/>
                <w:color w:val="767171" w:themeColor="background2" w:themeShade="80"/>
              </w:rPr>
              <w:t>Africa Environmental Health and Pollution Management Program</w:t>
            </w:r>
          </w:p>
        </w:tc>
      </w:tr>
    </w:tbl>
    <w:p w14:paraId="31D71227" w14:textId="77777777" w:rsidR="00733148" w:rsidRDefault="00733148" w:rsidP="00733148">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126"/>
      </w:tblGrid>
      <w:tr w:rsidR="00733148" w14:paraId="0CAD89F5" w14:textId="77777777" w:rsidTr="007463F5">
        <w:trPr>
          <w:trHeight w:val="432"/>
        </w:trPr>
        <w:tc>
          <w:tcPr>
            <w:tcW w:w="14126" w:type="dxa"/>
            <w:shd w:val="clear" w:color="auto" w:fill="F7F7F7"/>
            <w:vAlign w:val="center"/>
          </w:tcPr>
          <w:p w14:paraId="22E029BA" w14:textId="77777777" w:rsidR="00733148" w:rsidRDefault="00733148" w:rsidP="007463F5">
            <w:pPr>
              <w:ind w:right="-418"/>
              <w:rPr>
                <w:b/>
                <w:bCs/>
                <w:color w:val="7F7F7F" w:themeColor="text1" w:themeTint="80"/>
              </w:rPr>
            </w:pPr>
            <w:r w:rsidRPr="00934FB8">
              <w:rPr>
                <w:b/>
                <w:color w:val="172D5F"/>
              </w:rPr>
              <w:t>Project Development Objectives</w:t>
            </w:r>
            <w:r>
              <w:rPr>
                <w:b/>
                <w:color w:val="172D5F"/>
              </w:rPr>
              <w:t>(s)</w:t>
            </w:r>
          </w:p>
        </w:tc>
      </w:tr>
      <w:tr w:rsidR="00733148" w14:paraId="1C59862B" w14:textId="77777777" w:rsidTr="007463F5">
        <w:trPr>
          <w:trHeight w:val="432"/>
        </w:trPr>
        <w:tc>
          <w:tcPr>
            <w:tcW w:w="14126" w:type="dxa"/>
            <w:shd w:val="clear" w:color="auto" w:fill="F7F7F7"/>
            <w:vAlign w:val="center"/>
          </w:tcPr>
          <w:p w14:paraId="7892371F" w14:textId="77777777" w:rsidR="00733148" w:rsidRDefault="00733148" w:rsidP="007463F5">
            <w:pPr>
              <w:shd w:val="clear" w:color="auto" w:fill="F7F7F7"/>
              <w:rPr>
                <w:b/>
                <w:bCs/>
                <w:color w:val="7F7F7F" w:themeColor="text1" w:themeTint="80"/>
              </w:rPr>
            </w:pPr>
            <w:r w:rsidRPr="00501672">
              <w:rPr>
                <w:noProof/>
                <w:szCs w:val="18"/>
              </w:rPr>
              <w:t>To reduce exposure to mercury and uPOPs pollution at pilot sites and strengthen the institutional capacity to manage and regulate mercury use in artisanal small-scale gold mining (ASGM) and e-waste in selected countries in Africa</w:t>
            </w:r>
          </w:p>
        </w:tc>
      </w:tr>
    </w:tbl>
    <w:p w14:paraId="317CD44C" w14:textId="77777777" w:rsidR="00733148" w:rsidRDefault="00733148" w:rsidP="00733148">
      <w:pPr>
        <w:shd w:val="clear" w:color="auto" w:fill="F7F7F7"/>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733148" w14:paraId="39BD5EC1" w14:textId="77777777" w:rsidTr="007463F5">
        <w:trPr>
          <w:trHeight w:val="432"/>
        </w:trPr>
        <w:tc>
          <w:tcPr>
            <w:tcW w:w="14126" w:type="dxa"/>
            <w:shd w:val="clear" w:color="auto" w:fill="F7F7F7"/>
            <w:vAlign w:val="center"/>
          </w:tcPr>
          <w:p w14:paraId="1CE935B0" w14:textId="77777777" w:rsidR="00733148" w:rsidRPr="00A95B97" w:rsidRDefault="00733148" w:rsidP="007463F5">
            <w:pPr>
              <w:keepNext/>
              <w:keepLines/>
              <w:rPr>
                <w:rFonts w:ascii="Calibri" w:eastAsia="Times New Roman" w:hAnsi="Calibri" w:cs="Times New Roman"/>
                <w:b/>
                <w:color w:val="172D5F"/>
              </w:rPr>
            </w:pPr>
            <w:r>
              <w:rPr>
                <w:rFonts w:ascii="Calibri" w:hAnsi="Calibri" w:cs="Times New Roman"/>
                <w:b/>
                <w:color w:val="172D5F"/>
              </w:rPr>
              <w:t>Project Development Objective Indicators</w:t>
            </w:r>
          </w:p>
        </w:tc>
      </w:tr>
    </w:tbl>
    <w:p w14:paraId="30E8E655" w14:textId="77777777" w:rsidR="00733148" w:rsidRDefault="00733148" w:rsidP="00733148">
      <w:pPr>
        <w:keepNext/>
        <w:keepLines/>
        <w:shd w:val="clear" w:color="auto" w:fill="F7F7F7"/>
        <w:spacing w:line="14" w:lineRule="exact"/>
        <w:ind w:left="-691" w:right="-418"/>
        <w:rPr>
          <w:b/>
          <w:bCs/>
          <w:color w:val="7F7F7F" w:themeColor="text1" w:themeTint="80"/>
        </w:rPr>
      </w:pPr>
    </w:p>
    <w:tbl>
      <w:tblPr>
        <w:tblW w:w="14130" w:type="dxa"/>
        <w:tblInd w:w="-720" w:type="dxa"/>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733148" w14:paraId="2CB4CFB2" w14:textId="77777777" w:rsidTr="007463F5">
        <w:trPr>
          <w:trHeight w:val="20"/>
          <w:tblHeader/>
        </w:trPr>
        <w:tc>
          <w:tcPr>
            <w:tcW w:w="4035" w:type="dxa"/>
            <w:tcBorders>
              <w:bottom w:val="single" w:sz="4" w:space="0" w:color="D9D9D9"/>
            </w:tcBorders>
            <w:shd w:val="clear" w:color="auto" w:fill="F7F7F7"/>
            <w:vAlign w:val="center"/>
          </w:tcPr>
          <w:p w14:paraId="71D92B02" w14:textId="77777777" w:rsidR="00733148" w:rsidRPr="00AA635D" w:rsidRDefault="00733148" w:rsidP="007463F5">
            <w:pPr>
              <w:keepNext/>
              <w:keepLines/>
              <w:spacing w:before="100" w:beforeAutospacing="1" w:after="100" w:afterAutospacing="1" w:line="14" w:lineRule="exact"/>
              <w:ind w:left="115"/>
              <w:rPr>
                <w:rFonts w:cstheme="minorHAnsi"/>
                <w:b/>
                <w:color w:val="F7F7F7"/>
                <w:sz w:val="2"/>
                <w:szCs w:val="2"/>
              </w:rPr>
            </w:pPr>
            <w:r w:rsidRPr="00AA635D">
              <w:rPr>
                <w:rFonts w:cstheme="minorHAnsi"/>
                <w:b/>
                <w:color w:val="F7F7F7"/>
                <w:sz w:val="2"/>
                <w:szCs w:val="2"/>
              </w:rPr>
              <w:t>RESULT_FRAME_TBL_PDO</w:t>
            </w:r>
          </w:p>
        </w:tc>
        <w:tc>
          <w:tcPr>
            <w:tcW w:w="447" w:type="dxa"/>
            <w:tcBorders>
              <w:bottom w:val="single" w:sz="4" w:space="0" w:color="D9D9D9"/>
            </w:tcBorders>
            <w:shd w:val="clear" w:color="auto" w:fill="F7F7F7"/>
            <w:vAlign w:val="center"/>
          </w:tcPr>
          <w:p w14:paraId="3353EDA7" w14:textId="77777777" w:rsidR="00733148" w:rsidRPr="00AA635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bottom w:val="single" w:sz="4" w:space="0" w:color="D9D9D9"/>
            </w:tcBorders>
            <w:shd w:val="clear" w:color="auto" w:fill="F7F7F7"/>
            <w:vAlign w:val="center"/>
          </w:tcPr>
          <w:p w14:paraId="35D0F84F" w14:textId="77777777" w:rsidR="00733148" w:rsidRPr="00AA635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bottom w:val="single" w:sz="4" w:space="0" w:color="D9D9D9"/>
            </w:tcBorders>
            <w:shd w:val="clear" w:color="auto" w:fill="F7F7F7"/>
            <w:vAlign w:val="center"/>
          </w:tcPr>
          <w:p w14:paraId="2CD2C3F8" w14:textId="77777777" w:rsidR="00733148" w:rsidRPr="00AA635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r>
      <w:tr w:rsidR="00733148" w14:paraId="2318F44D" w14:textId="77777777" w:rsidTr="007463F5">
        <w:trPr>
          <w:trHeight w:val="20"/>
          <w:tblHeader/>
        </w:trPr>
        <w:tc>
          <w:tcPr>
            <w:tcW w:w="4035" w:type="dxa"/>
            <w:tcBorders>
              <w:top w:val="single" w:sz="4" w:space="0" w:color="D9D9D9"/>
              <w:left w:val="single" w:sz="4" w:space="0" w:color="D9D9D9"/>
              <w:right w:val="single" w:sz="4" w:space="0" w:color="D9D9D9"/>
            </w:tcBorders>
            <w:shd w:val="clear" w:color="auto" w:fill="F7F7F7"/>
            <w:vAlign w:val="center"/>
          </w:tcPr>
          <w:p w14:paraId="2F90A7E5" w14:textId="77777777" w:rsidR="00733148" w:rsidRPr="00250A13" w:rsidRDefault="00733148"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right w:val="single" w:sz="4" w:space="0" w:color="D9D9D9"/>
            </w:tcBorders>
            <w:shd w:val="clear" w:color="auto" w:fill="F7F7F7"/>
            <w:vAlign w:val="center"/>
          </w:tcPr>
          <w:p w14:paraId="5B85D9ED" w14:textId="77777777" w:rsidR="00733148" w:rsidRPr="00250A13" w:rsidRDefault="00733148" w:rsidP="007463F5">
            <w:pPr>
              <w:keepNext/>
              <w:keepLines/>
              <w:spacing w:before="60" w:after="60"/>
              <w:ind w:left="15"/>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right w:val="single" w:sz="4" w:space="0" w:color="D9D9D9"/>
            </w:tcBorders>
            <w:shd w:val="clear" w:color="auto" w:fill="F7F7F7"/>
            <w:vAlign w:val="center"/>
          </w:tcPr>
          <w:p w14:paraId="39063BDB"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right w:val="single" w:sz="4" w:space="0" w:color="D9D9D9"/>
            </w:tcBorders>
            <w:shd w:val="clear" w:color="auto" w:fill="F7F7F7"/>
            <w:vAlign w:val="center"/>
          </w:tcPr>
          <w:p w14:paraId="3F330378"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733148" w14:paraId="3D73CCF1" w14:textId="77777777" w:rsidTr="007463F5">
        <w:trPr>
          <w:trHeight w:val="20"/>
          <w:tblHeader/>
        </w:trPr>
        <w:tc>
          <w:tcPr>
            <w:tcW w:w="4035" w:type="dxa"/>
            <w:tcBorders>
              <w:left w:val="single" w:sz="4" w:space="0" w:color="D9D9D9"/>
              <w:bottom w:val="single" w:sz="4" w:space="0" w:color="D9D9D9"/>
              <w:right w:val="single" w:sz="4" w:space="0" w:color="D9D9D9"/>
            </w:tcBorders>
            <w:shd w:val="clear" w:color="auto" w:fill="F7F7F7"/>
            <w:vAlign w:val="center"/>
          </w:tcPr>
          <w:p w14:paraId="0F61026C" w14:textId="77777777" w:rsidR="00733148" w:rsidRPr="00252C83" w:rsidRDefault="00733148" w:rsidP="007463F5">
            <w:pPr>
              <w:spacing w:before="60" w:after="60"/>
              <w:ind w:left="115"/>
              <w:rPr>
                <w:b/>
                <w:color w:val="002060"/>
              </w:rPr>
            </w:pPr>
          </w:p>
        </w:tc>
        <w:tc>
          <w:tcPr>
            <w:tcW w:w="447" w:type="dxa"/>
            <w:tcBorders>
              <w:left w:val="single" w:sz="4" w:space="0" w:color="D9D9D9"/>
              <w:bottom w:val="single" w:sz="4" w:space="0" w:color="D9D9D9"/>
              <w:right w:val="single" w:sz="4" w:space="0" w:color="D9D9D9"/>
            </w:tcBorders>
            <w:shd w:val="clear" w:color="auto" w:fill="F7F7F7"/>
            <w:vAlign w:val="center"/>
          </w:tcPr>
          <w:p w14:paraId="17A6918C" w14:textId="77777777" w:rsidR="00733148" w:rsidRPr="00252C83" w:rsidRDefault="00733148" w:rsidP="007463F5">
            <w:pPr>
              <w:spacing w:before="60" w:after="60"/>
              <w:ind w:left="115"/>
              <w:rPr>
                <w:b/>
                <w:color w:val="002060"/>
              </w:rPr>
            </w:pPr>
          </w:p>
        </w:tc>
        <w:tc>
          <w:tcPr>
            <w:tcW w:w="3603" w:type="dxa"/>
            <w:tcBorders>
              <w:left w:val="single" w:sz="4" w:space="0" w:color="D9D9D9"/>
              <w:bottom w:val="single" w:sz="4" w:space="0" w:color="D9D9D9"/>
              <w:right w:val="single" w:sz="4" w:space="0" w:color="D9D9D9"/>
            </w:tcBorders>
            <w:shd w:val="clear" w:color="auto" w:fill="F7F7F7"/>
            <w:vAlign w:val="center"/>
          </w:tcPr>
          <w:p w14:paraId="6C2A770E" w14:textId="77777777" w:rsidR="00733148" w:rsidRPr="00D73445" w:rsidRDefault="00733148" w:rsidP="007463F5">
            <w:pPr>
              <w:keepNext/>
              <w:keepLines/>
              <w:spacing w:before="60" w:after="60"/>
              <w:ind w:left="115"/>
              <w:rPr>
                <w:b/>
                <w:color w:val="002060"/>
              </w:rPr>
            </w:pPr>
          </w:p>
        </w:tc>
        <w:tc>
          <w:tcPr>
            <w:tcW w:w="3615" w:type="dxa"/>
            <w:tcBorders>
              <w:left w:val="single" w:sz="4" w:space="0" w:color="D9D9D9"/>
              <w:bottom w:val="single" w:sz="4" w:space="0" w:color="D9D9D9"/>
              <w:right w:val="single" w:sz="4" w:space="0" w:color="D9D9D9"/>
            </w:tcBorders>
            <w:shd w:val="clear" w:color="auto" w:fill="F7F7F7"/>
            <w:vAlign w:val="center"/>
          </w:tcPr>
          <w:p w14:paraId="34265411" w14:textId="77777777" w:rsidR="00733148" w:rsidRPr="00252C83" w:rsidRDefault="00733148" w:rsidP="007463F5">
            <w:pPr>
              <w:spacing w:before="60" w:after="60"/>
              <w:ind w:left="115"/>
              <w:rPr>
                <w:b/>
                <w:color w:val="002060"/>
              </w:rPr>
            </w:pPr>
          </w:p>
        </w:tc>
      </w:tr>
      <w:tr w:rsidR="00733148" w14:paraId="33DFC070"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1E8A1F4E"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733148" w14:paraId="0BE7859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E65F02"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Knowledge products on mercury and uPOPs management designed and disseminated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5D78CCC"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412302"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2E8E6B6"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10.00</w:t>
            </w:r>
          </w:p>
        </w:tc>
      </w:tr>
      <w:tr w:rsidR="00733148" w14:paraId="08CF0E4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FC076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B4102C"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DD2C17"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F172D4"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0C24DB6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6281EC"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1EF7F4"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1B0E7A"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C073910"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2121042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01C7EB"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5F89D7"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37E688"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93B8B0"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596144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A8A881"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552506"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7A0795"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81C603"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20F5100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9450DE"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EF184E"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484695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CAE662"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5A4898A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748886"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lastRenderedPageBreak/>
              <w:t>Stakeholder outreach events completed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A66E6C"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E6F4E2"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4D5F2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40.00</w:t>
            </w:r>
          </w:p>
        </w:tc>
      </w:tr>
      <w:tr w:rsidR="00733148" w14:paraId="25C6198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157365"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F8C808"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1E8251"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37A4C1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46EC9BB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CD02BD"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EEF23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CDF9FF"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FFC8E51"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706E97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1F3AC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1E1EEA"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94A2F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3DB5A8"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739EE14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AA1BBE"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F74108"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586B728"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2D5EE8"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3220448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34D8A1"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6753C1"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0506F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E8916F"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41B64DB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F132BA"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Policy interventions on mercury and e-waste management (including uPOPs emissions) designed and consulted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33DAF2"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63336F"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B8E1AC"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10.00</w:t>
            </w:r>
          </w:p>
        </w:tc>
      </w:tr>
      <w:tr w:rsidR="00733148" w14:paraId="4E0CF24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D125BA"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A110C9"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0DBC0C"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F3E7B5"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4F97E97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B87539"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75F235"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D9C7AD"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CE0B64"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FF2B57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E4A140"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0AC302"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E7E46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31A0CC"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911EAB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283361"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47DD0B"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F7A971"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2C219A"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73E1FA6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6612D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ECDFE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556932"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B16E52"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62B30CF3"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3F4F5D17"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733148" w14:paraId="3EC84C5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04BF11"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Piloting of best environmental practices and cleaner technologies to help countries meet their Stockholm and Minamata Convention obligations completed and evaluated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229B28"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A73F47"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333014"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8.00</w:t>
            </w:r>
          </w:p>
        </w:tc>
      </w:tr>
      <w:tr w:rsidR="00733148" w14:paraId="46FEB3F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24FCEC"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07AB6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4639D9"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26079B"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04D5DB2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4B6286"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lastRenderedPageBreak/>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0F8D5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AD1FB6"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A6674D"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66792B0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461DE6"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F5BE25"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8C771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0C2A67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w:t>
            </w:r>
          </w:p>
        </w:tc>
      </w:tr>
      <w:tr w:rsidR="00733148" w14:paraId="0651AC5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737DEF"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B318FB"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FD24940"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50DD97"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1.00</w:t>
            </w:r>
          </w:p>
        </w:tc>
      </w:tr>
      <w:tr w:rsidR="00733148" w14:paraId="3B1F4E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4C7DB0"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7E8FBF"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55D5ED0"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0B35E5"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w:t>
            </w:r>
          </w:p>
        </w:tc>
      </w:tr>
      <w:tr w:rsidR="00733148" w14:paraId="02704DD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02744F"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Mercury use in ASGM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34D2E3"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8B46A6"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2235A1"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5849CA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66D765"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Tanzania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62109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22511B"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8E6F1F"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115178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1FA0D89"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E5FFCA"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29292A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108881"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478AA4C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779DF4" w14:textId="77777777" w:rsidR="00733148" w:rsidRPr="0009281B" w:rsidRDefault="00733148" w:rsidP="007463F5">
            <w:pPr>
              <w:spacing w:before="40" w:after="40"/>
              <w:ind w:left="90"/>
              <w:rPr>
                <w:rFonts w:eastAsia="Times New Roman" w:cstheme="minorHAnsi"/>
                <w:sz w:val="18"/>
                <w:szCs w:val="18"/>
              </w:rPr>
            </w:pPr>
            <w:r w:rsidRPr="0009281B">
              <w:rPr>
                <w:rFonts w:ascii="Calibri" w:eastAsia="Calibri" w:hAnsi="Calibri" w:cs="Calibri"/>
                <w:noProof/>
                <w:sz w:val="18"/>
                <w:szCs w:val="18"/>
              </w:rPr>
              <w:t>Exposure to uPOPs pollution from open burning of hazardous waste including e-waste reduced at pilot sites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0F396EB"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F1AA2F"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11AADCF"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6A12837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E06A8B"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Ghana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86420D3"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4C1FAE"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685F08"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036A702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49F944"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Zambia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EC96C6"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60E114"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A78A1E"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4235882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55E2892"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Kenya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84721B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E41CB3"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2DEEF9"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r w:rsidR="00733148" w14:paraId="39C1037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B5BEED" w14:textId="77777777" w:rsidR="00733148" w:rsidRPr="0009281B" w:rsidRDefault="00733148" w:rsidP="007463F5">
            <w:pPr>
              <w:spacing w:before="40" w:after="40"/>
              <w:ind w:left="300"/>
              <w:rPr>
                <w:rFonts w:eastAsia="Times New Roman" w:cstheme="minorHAnsi"/>
                <w:noProof/>
                <w:sz w:val="18"/>
                <w:szCs w:val="18"/>
              </w:rPr>
            </w:pPr>
            <w:r w:rsidRPr="0009281B">
              <w:rPr>
                <w:rFonts w:ascii="Calibri" w:eastAsia="Calibri" w:hAnsi="Calibri" w:cs="Calibri"/>
                <w:noProof/>
                <w:sz w:val="18"/>
                <w:szCs w:val="18"/>
              </w:rPr>
              <w:t>Senegal (Percentage)</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6A53C0" w14:textId="77777777" w:rsidR="00733148" w:rsidRPr="0009281B" w:rsidRDefault="00733148" w:rsidP="007463F5">
            <w:pPr>
              <w:spacing w:before="40" w:after="40"/>
              <w:rPr>
                <w:rFonts w:eastAsia="Times New Roman"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1BDBCC" w14:textId="77777777" w:rsidR="00733148" w:rsidRPr="0009281B" w:rsidRDefault="00733148" w:rsidP="007463F5">
            <w:pPr>
              <w:spacing w:before="40" w:after="40"/>
              <w:ind w:left="30"/>
              <w:rPr>
                <w:rFonts w:eastAsia="Times New Roman" w:cstheme="minorHAnsi"/>
                <w:sz w:val="18"/>
                <w:szCs w:val="18"/>
              </w:rPr>
            </w:pPr>
            <w:r>
              <w:rPr>
                <w:rFonts w:ascii="Calibri" w:eastAsia="Times New Roman" w:hAnsi="Calibr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ACBDBEE" w14:textId="77777777" w:rsidR="00733148" w:rsidRPr="0009281B" w:rsidRDefault="00733148" w:rsidP="007463F5">
            <w:pPr>
              <w:spacing w:before="40" w:after="40"/>
              <w:ind w:left="115"/>
              <w:rPr>
                <w:rFonts w:ascii="Calibri" w:eastAsia="Times New Roman" w:hAnsi="Calibri"/>
                <w:sz w:val="18"/>
                <w:szCs w:val="18"/>
              </w:rPr>
            </w:pPr>
            <w:r>
              <w:rPr>
                <w:noProof/>
                <w:sz w:val="18"/>
                <w:szCs w:val="18"/>
              </w:rPr>
              <w:t>20.00</w:t>
            </w:r>
          </w:p>
        </w:tc>
      </w:tr>
    </w:tbl>
    <w:p w14:paraId="3CAFBDEF" w14:textId="77777777" w:rsidR="00733148" w:rsidRDefault="00733148" w:rsidP="00733148">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733148" w14:paraId="1A97A953" w14:textId="77777777" w:rsidTr="007463F5">
        <w:trPr>
          <w:trHeight w:val="576"/>
        </w:trPr>
        <w:tc>
          <w:tcPr>
            <w:tcW w:w="14096" w:type="dxa"/>
            <w:shd w:val="clear" w:color="auto" w:fill="F7F7F7"/>
          </w:tcPr>
          <w:p w14:paraId="3D164667" w14:textId="77777777" w:rsidR="00733148" w:rsidRDefault="00733148" w:rsidP="007463F5">
            <w:pPr>
              <w:ind w:right="-418"/>
              <w:rPr>
                <w:b/>
                <w:bCs/>
                <w:color w:val="7F7F7F" w:themeColor="text1" w:themeTint="80"/>
              </w:rPr>
            </w:pPr>
            <w:bookmarkStart w:id="39" w:name="_Hlk520229174"/>
            <w:r w:rsidRPr="007B35D0">
              <w:rPr>
                <w:b/>
                <w:bCs/>
                <w:color w:val="F7F7F7"/>
              </w:rPr>
              <w:t>PDO Table SPACE</w:t>
            </w:r>
          </w:p>
        </w:tc>
      </w:tr>
      <w:bookmarkEnd w:id="39"/>
    </w:tbl>
    <w:p w14:paraId="474788B4" w14:textId="77777777" w:rsidR="00733148" w:rsidRDefault="00733148" w:rsidP="00733148">
      <w:pPr>
        <w:shd w:val="clear" w:color="auto" w:fill="F7F7F7"/>
        <w:spacing w:line="14" w:lineRule="exact"/>
        <w:ind w:left="-691" w:right="-418"/>
        <w:rPr>
          <w:b/>
          <w:bCs/>
          <w:color w:val="7F7F7F" w:themeColor="text1" w:themeTint="80"/>
        </w:rPr>
      </w:pPr>
    </w:p>
    <w:tbl>
      <w:tblPr>
        <w:tblStyle w:val="TableGrid230"/>
        <w:tblW w:w="14126"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26"/>
      </w:tblGrid>
      <w:tr w:rsidR="00733148" w14:paraId="20431A2D" w14:textId="77777777" w:rsidTr="007463F5">
        <w:trPr>
          <w:trHeight w:val="432"/>
        </w:trPr>
        <w:tc>
          <w:tcPr>
            <w:tcW w:w="14126" w:type="dxa"/>
            <w:shd w:val="clear" w:color="auto" w:fill="F7F7F7"/>
            <w:vAlign w:val="center"/>
          </w:tcPr>
          <w:p w14:paraId="1E543A08" w14:textId="77777777" w:rsidR="00733148" w:rsidRPr="00A95B97" w:rsidRDefault="00733148" w:rsidP="007463F5">
            <w:pPr>
              <w:keepNext/>
              <w:keepLines/>
              <w:rPr>
                <w:rFonts w:ascii="Calibri" w:eastAsia="Times New Roman" w:hAnsi="Calibri" w:cs="Times New Roman"/>
                <w:b/>
                <w:color w:val="172D5F"/>
              </w:rPr>
            </w:pPr>
            <w:r>
              <w:rPr>
                <w:rFonts w:ascii="Calibri" w:hAnsi="Calibri" w:cs="Times New Roman"/>
                <w:b/>
                <w:color w:val="172D5F"/>
              </w:rPr>
              <w:lastRenderedPageBreak/>
              <w:t>Intermediate Results Indicators by Components</w:t>
            </w:r>
          </w:p>
        </w:tc>
      </w:tr>
    </w:tbl>
    <w:p w14:paraId="494FFEF2" w14:textId="77777777" w:rsidR="00733148" w:rsidRDefault="00733148" w:rsidP="00733148">
      <w:pPr>
        <w:keepNext/>
        <w:keepLines/>
        <w:shd w:val="clear" w:color="auto" w:fill="F7F7F7"/>
        <w:spacing w:line="14" w:lineRule="exact"/>
        <w:ind w:left="-691" w:right="-418"/>
        <w:rPr>
          <w:b/>
          <w:bCs/>
          <w:color w:val="7F7F7F" w:themeColor="text1" w:themeTint="80"/>
        </w:rPr>
      </w:pPr>
    </w:p>
    <w:tbl>
      <w:tblPr>
        <w:tblW w:w="14130"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7F7F7"/>
        <w:tblLayout w:type="fixed"/>
        <w:tblCellMar>
          <w:left w:w="0" w:type="dxa"/>
          <w:right w:w="0" w:type="dxa"/>
        </w:tblCellMar>
        <w:tblLook w:val="04A0" w:firstRow="1" w:lastRow="0" w:firstColumn="1" w:lastColumn="0" w:noHBand="0" w:noVBand="1"/>
      </w:tblPr>
      <w:tblGrid>
        <w:gridCol w:w="4873"/>
        <w:gridCol w:w="540"/>
        <w:gridCol w:w="4351"/>
        <w:gridCol w:w="4366"/>
      </w:tblGrid>
      <w:tr w:rsidR="00733148" w14:paraId="34A56F7A" w14:textId="77777777" w:rsidTr="007463F5">
        <w:trPr>
          <w:trHeight w:val="20"/>
          <w:tblHeader/>
        </w:trPr>
        <w:tc>
          <w:tcPr>
            <w:tcW w:w="4035" w:type="dxa"/>
            <w:tcBorders>
              <w:top w:val="nil"/>
              <w:left w:val="nil"/>
              <w:bottom w:val="single" w:sz="4" w:space="0" w:color="D9D9D9"/>
              <w:right w:val="nil"/>
            </w:tcBorders>
            <w:shd w:val="clear" w:color="auto" w:fill="F7F7F7"/>
            <w:vAlign w:val="center"/>
          </w:tcPr>
          <w:p w14:paraId="1CF47883" w14:textId="77777777" w:rsidR="00733148" w:rsidRPr="008C782D" w:rsidRDefault="00733148" w:rsidP="007463F5">
            <w:pPr>
              <w:keepNext/>
              <w:keepLines/>
              <w:spacing w:before="100" w:beforeAutospacing="1" w:after="100" w:afterAutospacing="1" w:line="14" w:lineRule="exact"/>
              <w:ind w:left="115"/>
              <w:rPr>
                <w:rFonts w:cstheme="minorHAnsi"/>
                <w:b/>
                <w:color w:val="F7F7F7"/>
                <w:sz w:val="2"/>
                <w:szCs w:val="2"/>
              </w:rPr>
            </w:pPr>
            <w:r w:rsidRPr="008C782D">
              <w:rPr>
                <w:rFonts w:cstheme="minorHAnsi"/>
                <w:b/>
                <w:color w:val="F7F7F7"/>
                <w:sz w:val="2"/>
                <w:szCs w:val="2"/>
              </w:rPr>
              <w:t>RESULT_FRAME_TBL_IO</w:t>
            </w:r>
          </w:p>
        </w:tc>
        <w:tc>
          <w:tcPr>
            <w:tcW w:w="447" w:type="dxa"/>
            <w:tcBorders>
              <w:top w:val="nil"/>
              <w:left w:val="nil"/>
              <w:bottom w:val="single" w:sz="4" w:space="0" w:color="D9D9D9"/>
              <w:right w:val="nil"/>
            </w:tcBorders>
            <w:shd w:val="clear" w:color="auto" w:fill="F7F7F7"/>
            <w:vAlign w:val="center"/>
          </w:tcPr>
          <w:p w14:paraId="69BFF0F6" w14:textId="77777777" w:rsidR="00733148" w:rsidRPr="008C782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03" w:type="dxa"/>
            <w:tcBorders>
              <w:top w:val="nil"/>
              <w:left w:val="nil"/>
              <w:bottom w:val="single" w:sz="4" w:space="0" w:color="D9D9D9"/>
              <w:right w:val="nil"/>
            </w:tcBorders>
            <w:shd w:val="clear" w:color="auto" w:fill="F7F7F7"/>
            <w:vAlign w:val="center"/>
          </w:tcPr>
          <w:p w14:paraId="038BF020" w14:textId="77777777" w:rsidR="00733148" w:rsidRPr="008C782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c>
          <w:tcPr>
            <w:tcW w:w="3615" w:type="dxa"/>
            <w:tcBorders>
              <w:top w:val="nil"/>
              <w:left w:val="nil"/>
              <w:bottom w:val="single" w:sz="4" w:space="0" w:color="D9D9D9"/>
              <w:right w:val="nil"/>
            </w:tcBorders>
            <w:shd w:val="clear" w:color="auto" w:fill="F7F7F7"/>
            <w:vAlign w:val="center"/>
          </w:tcPr>
          <w:p w14:paraId="2A87BE8A" w14:textId="77777777" w:rsidR="00733148" w:rsidRPr="008C782D" w:rsidRDefault="00733148" w:rsidP="007463F5">
            <w:pPr>
              <w:keepNext/>
              <w:keepLines/>
              <w:spacing w:before="100" w:beforeAutospacing="1" w:after="100" w:afterAutospacing="1" w:line="14" w:lineRule="exact"/>
              <w:ind w:left="115"/>
              <w:jc w:val="center"/>
              <w:rPr>
                <w:rFonts w:cstheme="minorHAnsi"/>
                <w:b/>
                <w:color w:val="F7F7F7"/>
                <w:sz w:val="2"/>
                <w:szCs w:val="2"/>
              </w:rPr>
            </w:pPr>
          </w:p>
        </w:tc>
      </w:tr>
      <w:tr w:rsidR="00733148" w14:paraId="4C8CE19A" w14:textId="77777777" w:rsidTr="007463F5">
        <w:trPr>
          <w:trHeight w:val="20"/>
          <w:tblHeader/>
        </w:trPr>
        <w:tc>
          <w:tcPr>
            <w:tcW w:w="4035" w:type="dxa"/>
            <w:tcBorders>
              <w:top w:val="single" w:sz="4" w:space="0" w:color="D9D9D9"/>
              <w:left w:val="single" w:sz="4" w:space="0" w:color="D9D9D9"/>
              <w:bottom w:val="nil"/>
              <w:right w:val="single" w:sz="4" w:space="0" w:color="D9D9D9"/>
            </w:tcBorders>
            <w:shd w:val="clear" w:color="auto" w:fill="F7F7F7"/>
            <w:vAlign w:val="center"/>
          </w:tcPr>
          <w:p w14:paraId="49B26FC4" w14:textId="77777777" w:rsidR="00733148" w:rsidRPr="00250A13" w:rsidRDefault="00733148" w:rsidP="007463F5">
            <w:pPr>
              <w:keepNext/>
              <w:keepLines/>
              <w:spacing w:before="60" w:after="60"/>
              <w:ind w:left="115"/>
              <w:jc w:val="center"/>
              <w:rPr>
                <w:rFonts w:ascii="Calibri" w:hAnsi="Calibri" w:cs="Times New Roman"/>
                <w:b/>
                <w:color w:val="002060"/>
              </w:rPr>
            </w:pPr>
            <w:r w:rsidRPr="008A1ECA">
              <w:rPr>
                <w:rFonts w:ascii="Calibri" w:hAnsi="Calibri" w:cs="Times New Roman"/>
                <w:b/>
                <w:color w:val="002060"/>
              </w:rPr>
              <w:t>Indicator Name</w:t>
            </w:r>
          </w:p>
        </w:tc>
        <w:tc>
          <w:tcPr>
            <w:tcW w:w="447" w:type="dxa"/>
            <w:tcBorders>
              <w:top w:val="single" w:sz="4" w:space="0" w:color="D9D9D9"/>
              <w:left w:val="single" w:sz="4" w:space="0" w:color="D9D9D9"/>
              <w:bottom w:val="nil"/>
              <w:right w:val="single" w:sz="4" w:space="0" w:color="D9D9D9"/>
            </w:tcBorders>
            <w:shd w:val="clear" w:color="auto" w:fill="F7F7F7"/>
            <w:vAlign w:val="center"/>
          </w:tcPr>
          <w:p w14:paraId="5D7680E0" w14:textId="77777777" w:rsidR="00733148" w:rsidRPr="00250A13" w:rsidRDefault="00733148" w:rsidP="007463F5">
            <w:pPr>
              <w:keepNext/>
              <w:keepLines/>
              <w:spacing w:before="60" w:after="60"/>
              <w:rPr>
                <w:rFonts w:ascii="Calibri" w:hAnsi="Calibri" w:cs="Times New Roman"/>
                <w:b/>
                <w:color w:val="002060"/>
              </w:rPr>
            </w:pPr>
            <w:r w:rsidRPr="00250A13">
              <w:rPr>
                <w:rFonts w:ascii="Calibri" w:hAnsi="Calibri" w:cs="Times New Roman"/>
                <w:b/>
                <w:color w:val="002060"/>
              </w:rPr>
              <w:t>DLI</w:t>
            </w:r>
          </w:p>
        </w:tc>
        <w:tc>
          <w:tcPr>
            <w:tcW w:w="3603" w:type="dxa"/>
            <w:tcBorders>
              <w:top w:val="single" w:sz="4" w:space="0" w:color="D9D9D9"/>
              <w:left w:val="single" w:sz="4" w:space="0" w:color="D9D9D9"/>
              <w:bottom w:val="nil"/>
              <w:right w:val="single" w:sz="4" w:space="0" w:color="D9D9D9"/>
            </w:tcBorders>
            <w:shd w:val="clear" w:color="auto" w:fill="F7F7F7"/>
            <w:vAlign w:val="center"/>
          </w:tcPr>
          <w:p w14:paraId="263B06F0"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Baseline</w:t>
            </w:r>
          </w:p>
        </w:tc>
        <w:tc>
          <w:tcPr>
            <w:tcW w:w="3615" w:type="dxa"/>
            <w:tcBorders>
              <w:top w:val="single" w:sz="4" w:space="0" w:color="D9D9D9"/>
              <w:left w:val="single" w:sz="4" w:space="0" w:color="D9D9D9"/>
              <w:bottom w:val="nil"/>
              <w:right w:val="single" w:sz="4" w:space="0" w:color="D9D9D9"/>
            </w:tcBorders>
            <w:shd w:val="clear" w:color="auto" w:fill="F7F7F7"/>
            <w:vAlign w:val="center"/>
          </w:tcPr>
          <w:p w14:paraId="4185FECD" w14:textId="77777777" w:rsidR="00733148" w:rsidRPr="00250A13" w:rsidRDefault="00733148" w:rsidP="007463F5">
            <w:pPr>
              <w:keepNext/>
              <w:keepLines/>
              <w:spacing w:before="60" w:after="60"/>
              <w:ind w:left="115"/>
              <w:rPr>
                <w:rFonts w:ascii="Calibri" w:hAnsi="Calibri" w:cs="Times New Roman"/>
                <w:b/>
                <w:color w:val="002060"/>
              </w:rPr>
            </w:pPr>
            <w:r w:rsidRPr="00250A13">
              <w:rPr>
                <w:rFonts w:ascii="Calibri" w:hAnsi="Calibri" w:cs="Times New Roman"/>
                <w:b/>
                <w:color w:val="002060"/>
              </w:rPr>
              <w:t>End Target</w:t>
            </w:r>
          </w:p>
        </w:tc>
      </w:tr>
      <w:tr w:rsidR="00733148" w14:paraId="12835F78" w14:textId="77777777" w:rsidTr="007463F5">
        <w:trPr>
          <w:trHeight w:val="20"/>
          <w:tblHeader/>
        </w:trPr>
        <w:tc>
          <w:tcPr>
            <w:tcW w:w="4035" w:type="dxa"/>
            <w:tcBorders>
              <w:top w:val="nil"/>
              <w:left w:val="single" w:sz="4" w:space="0" w:color="D9D9D9"/>
              <w:bottom w:val="single" w:sz="4" w:space="0" w:color="D9D9D9"/>
              <w:right w:val="single" w:sz="4" w:space="0" w:color="D9D9D9"/>
            </w:tcBorders>
            <w:shd w:val="clear" w:color="auto" w:fill="F7F7F7"/>
            <w:vAlign w:val="center"/>
          </w:tcPr>
          <w:p w14:paraId="53B7B6B2" w14:textId="77777777" w:rsidR="00733148" w:rsidRPr="00252C83" w:rsidRDefault="00733148" w:rsidP="007463F5">
            <w:pPr>
              <w:spacing w:before="60" w:after="60"/>
              <w:ind w:left="115"/>
              <w:rPr>
                <w:b/>
                <w:color w:val="002060"/>
              </w:rPr>
            </w:pPr>
          </w:p>
        </w:tc>
        <w:tc>
          <w:tcPr>
            <w:tcW w:w="447" w:type="dxa"/>
            <w:tcBorders>
              <w:top w:val="nil"/>
              <w:left w:val="single" w:sz="4" w:space="0" w:color="D9D9D9"/>
              <w:bottom w:val="single" w:sz="4" w:space="0" w:color="D9D9D9"/>
              <w:right w:val="single" w:sz="4" w:space="0" w:color="D9D9D9"/>
            </w:tcBorders>
            <w:shd w:val="clear" w:color="auto" w:fill="F7F7F7"/>
            <w:vAlign w:val="center"/>
          </w:tcPr>
          <w:p w14:paraId="49E8BE21" w14:textId="77777777" w:rsidR="00733148" w:rsidRPr="00252C83" w:rsidRDefault="00733148" w:rsidP="007463F5">
            <w:pPr>
              <w:spacing w:before="60" w:after="60"/>
              <w:ind w:left="115"/>
              <w:rPr>
                <w:b/>
                <w:color w:val="002060"/>
              </w:rPr>
            </w:pPr>
          </w:p>
        </w:tc>
        <w:tc>
          <w:tcPr>
            <w:tcW w:w="3603" w:type="dxa"/>
            <w:tcBorders>
              <w:top w:val="nil"/>
              <w:left w:val="single" w:sz="4" w:space="0" w:color="D9D9D9"/>
              <w:bottom w:val="single" w:sz="4" w:space="0" w:color="D9D9D9"/>
              <w:right w:val="single" w:sz="4" w:space="0" w:color="D9D9D9"/>
            </w:tcBorders>
            <w:shd w:val="clear" w:color="auto" w:fill="F7F7F7"/>
            <w:vAlign w:val="center"/>
          </w:tcPr>
          <w:p w14:paraId="00D2CE4F" w14:textId="77777777" w:rsidR="00733148" w:rsidRPr="00D73445" w:rsidRDefault="00733148" w:rsidP="007463F5">
            <w:pPr>
              <w:keepNext/>
              <w:keepLines/>
              <w:spacing w:before="60" w:after="60"/>
              <w:rPr>
                <w:b/>
                <w:color w:val="002060"/>
              </w:rPr>
            </w:pPr>
          </w:p>
        </w:tc>
        <w:tc>
          <w:tcPr>
            <w:tcW w:w="3615" w:type="dxa"/>
            <w:tcBorders>
              <w:top w:val="nil"/>
              <w:left w:val="single" w:sz="4" w:space="0" w:color="D9D9D9"/>
              <w:bottom w:val="single" w:sz="4" w:space="0" w:color="D9D9D9"/>
              <w:right w:val="single" w:sz="4" w:space="0" w:color="D9D9D9"/>
            </w:tcBorders>
            <w:shd w:val="clear" w:color="auto" w:fill="F7F7F7"/>
            <w:vAlign w:val="center"/>
          </w:tcPr>
          <w:p w14:paraId="324169C4" w14:textId="77777777" w:rsidR="00733148" w:rsidRPr="00252C83" w:rsidRDefault="00733148" w:rsidP="007463F5">
            <w:pPr>
              <w:spacing w:before="60" w:after="60"/>
              <w:rPr>
                <w:b/>
                <w:color w:val="002060"/>
              </w:rPr>
            </w:pPr>
          </w:p>
        </w:tc>
      </w:tr>
      <w:tr w:rsidR="00733148" w14:paraId="6D8F9A94"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54F246B6" w14:textId="77777777" w:rsidR="00733148" w:rsidRPr="00D97597" w:rsidRDefault="00733148" w:rsidP="007463F5">
            <w:pPr>
              <w:ind w:left="75"/>
              <w:rPr>
                <w:rFonts w:cstheme="minorHAnsi"/>
                <w:sz w:val="18"/>
                <w:szCs w:val="18"/>
              </w:rPr>
            </w:pPr>
            <w:r>
              <w:rPr>
                <w:rFonts w:ascii="Calibri" w:eastAsia="Calibri" w:hAnsi="Calibri" w:cs="Calibri"/>
                <w:b/>
                <w:bCs/>
                <w:noProof/>
                <w:sz w:val="18"/>
                <w:szCs w:val="18"/>
              </w:rPr>
              <w:t>Institutional strengthening, knowledge and capacity building</w:t>
            </w:r>
            <w:r>
              <w:rPr>
                <w:rFonts w:eastAsia="Times New Roman" w:cstheme="minorHAnsi"/>
                <w:sz w:val="18"/>
                <w:szCs w:val="18"/>
              </w:rPr>
              <w:t xml:space="preserve"> </w:t>
            </w:r>
          </w:p>
        </w:tc>
      </w:tr>
      <w:tr w:rsidR="00733148" w14:paraId="0D06EAE0"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2A1BD9"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E-waste management and mercury use benchmarked in participating countries (volume/Mt) through the regional platform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7B25E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268FE9B"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0FC604B"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781A429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6D4DBE"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4C5EF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E42DFB"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C4C083"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50FF794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7AB038"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7C721E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6C27F5"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45ACB6"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1A714E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3DBF38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81B5DDC"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ECA1A8"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02709E"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1839B5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1DA6C0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37082D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587AFF"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373835E"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697DDF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EC4669"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55D4C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D0BDB3"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90A2E1C"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E909E3D"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B2A36A6"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Trained inspection officers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D7F5EC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65299B"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F9E345" w14:textId="77777777" w:rsidR="00733148" w:rsidRPr="00D97597" w:rsidRDefault="00733148" w:rsidP="007463F5">
            <w:pPr>
              <w:spacing w:before="40"/>
              <w:rPr>
                <w:rFonts w:cstheme="minorHAnsi"/>
                <w:sz w:val="18"/>
                <w:szCs w:val="18"/>
              </w:rPr>
            </w:pPr>
            <w:r>
              <w:rPr>
                <w:rFonts w:cstheme="minorHAnsi"/>
                <w:noProof/>
                <w:sz w:val="18"/>
                <w:szCs w:val="18"/>
              </w:rPr>
              <w:t>110.00</w:t>
            </w:r>
          </w:p>
        </w:tc>
      </w:tr>
      <w:tr w:rsidR="00733148" w14:paraId="60BE100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1371A3"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FB4E2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CF158F9"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1EF3481"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2D4C76E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78D9B7"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5453C24"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C20F1E5"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6EC963D" w14:textId="77777777" w:rsidR="00733148" w:rsidRPr="00D97597" w:rsidRDefault="00733148" w:rsidP="007463F5">
            <w:pPr>
              <w:spacing w:before="40"/>
              <w:rPr>
                <w:rFonts w:cstheme="minorHAnsi"/>
                <w:sz w:val="18"/>
                <w:szCs w:val="18"/>
              </w:rPr>
            </w:pPr>
            <w:r>
              <w:rPr>
                <w:rFonts w:cstheme="minorHAnsi"/>
                <w:noProof/>
                <w:sz w:val="18"/>
                <w:szCs w:val="18"/>
              </w:rPr>
              <w:t>30.00</w:t>
            </w:r>
          </w:p>
        </w:tc>
      </w:tr>
      <w:tr w:rsidR="00733148" w14:paraId="0510FB5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7A6677"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B9C850"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4659D0"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F0559C"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4112826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8819B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lastRenderedPageBreak/>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506AA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717B62D"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B4905A"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65CA0EB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2225C6"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10142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6E1829F"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5CC3A3" w14:textId="77777777" w:rsidR="00733148" w:rsidRPr="00D97597" w:rsidRDefault="00733148" w:rsidP="007463F5">
            <w:pPr>
              <w:spacing w:before="40"/>
              <w:rPr>
                <w:rFonts w:cstheme="minorHAnsi"/>
                <w:sz w:val="18"/>
                <w:szCs w:val="18"/>
              </w:rPr>
            </w:pPr>
            <w:r>
              <w:rPr>
                <w:rFonts w:cstheme="minorHAnsi"/>
                <w:noProof/>
                <w:sz w:val="18"/>
                <w:szCs w:val="18"/>
              </w:rPr>
              <w:t>20.00</w:t>
            </w:r>
          </w:p>
        </w:tc>
      </w:tr>
      <w:tr w:rsidR="00733148" w14:paraId="092C7C2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A28B46"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Communities involved in planning, implementation and evaluation of demonstration pilots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DC5B047"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08884F"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662037B" w14:textId="77777777" w:rsidR="00733148" w:rsidRPr="00D97597" w:rsidRDefault="00733148" w:rsidP="007463F5">
            <w:pPr>
              <w:spacing w:before="40"/>
              <w:rPr>
                <w:rFonts w:cstheme="minorHAnsi"/>
                <w:sz w:val="18"/>
                <w:szCs w:val="18"/>
              </w:rPr>
            </w:pPr>
            <w:r>
              <w:rPr>
                <w:rFonts w:cstheme="minorHAnsi"/>
                <w:noProof/>
                <w:sz w:val="18"/>
                <w:szCs w:val="18"/>
              </w:rPr>
              <w:t>10.00</w:t>
            </w:r>
          </w:p>
        </w:tc>
      </w:tr>
      <w:tr w:rsidR="00733148" w14:paraId="6D42A251"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A377F4"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C3D7D52"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FD76AD"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FBE940E"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41FDCB6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059F756"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72661A"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DC3AE5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04109B"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4CF5D50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071C228"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7323CCA"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52FD6F"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D13BF4"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05B5346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FB7CF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3F6B5E7"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AD170A"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59B658"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501BBBE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3A7EC26"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C1B1F0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825CB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F2B6DAF"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09DECD79"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53053569" w14:textId="77777777" w:rsidR="00733148" w:rsidRPr="00D97597" w:rsidRDefault="00733148" w:rsidP="007463F5">
            <w:pPr>
              <w:ind w:left="75"/>
              <w:rPr>
                <w:rFonts w:cstheme="minorHAnsi"/>
                <w:sz w:val="18"/>
                <w:szCs w:val="18"/>
              </w:rPr>
            </w:pPr>
            <w:r>
              <w:rPr>
                <w:rFonts w:ascii="Calibri" w:eastAsia="Calibri" w:hAnsi="Calibri" w:cs="Calibri"/>
                <w:b/>
                <w:bCs/>
                <w:noProof/>
                <w:sz w:val="18"/>
                <w:szCs w:val="18"/>
              </w:rPr>
              <w:t>Policy Dialogue and Regulatory Enhancements</w:t>
            </w:r>
            <w:r>
              <w:rPr>
                <w:rFonts w:eastAsia="Times New Roman" w:cstheme="minorHAnsi"/>
                <w:sz w:val="18"/>
                <w:szCs w:val="18"/>
              </w:rPr>
              <w:t xml:space="preserve"> </w:t>
            </w:r>
          </w:p>
        </w:tc>
      </w:tr>
      <w:tr w:rsidR="00733148" w14:paraId="5716DB2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7D43A5"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Guidelines and checklists for stakeholders and workers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798DC9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E5484C4"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B765E93"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641846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E3733E"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C8CAD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41A9895"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B5C7D59"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05D4ADA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A81C27A"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F0EB8B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2D0D14B"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FA0669"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6D80932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B16D2C2"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lastRenderedPageBreak/>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A0365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509319"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27FF78"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085FDF55"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9B3DD3"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9FBA1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8B20619"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0A0EAE4"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CAD5F4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0783B0"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53DF8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4B37A7D"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6EE0A8"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BAC6FC6"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2DF7BF"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Stakeholder communication strategy developed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8862E0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9FD17A"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340B90"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9A2CBF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48DE50"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38585AB"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465CC75"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618E75"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82DECDF"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5786634"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6F5B114"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A974473"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829D71B"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75CB776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4E4D41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AA6A1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9B43950"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20786CF"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063F858E"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AFCFA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8BF385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E0BA7F"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5F54A9"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E60BB1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DF347D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918DABB"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8BEB90"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D8AC8F"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E286D28" w14:textId="77777777" w:rsidTr="007463F5">
        <w:tblPrEx>
          <w:tblCellMar>
            <w:bottom w:w="72" w:type="dxa"/>
          </w:tblCellMar>
        </w:tblPrEx>
        <w:trPr>
          <w:trHeight w:val="20"/>
        </w:trPr>
        <w:tc>
          <w:tcPr>
            <w:tcW w:w="11700" w:type="dxa"/>
            <w:gridSpan w:val="4"/>
            <w:tcBorders>
              <w:top w:val="single" w:sz="4" w:space="0" w:color="D9D9D9"/>
              <w:left w:val="single" w:sz="4" w:space="0" w:color="D9D9D9"/>
              <w:bottom w:val="single" w:sz="4" w:space="0" w:color="D9D9D9"/>
              <w:right w:val="single" w:sz="4" w:space="0" w:color="D9D9D9"/>
            </w:tcBorders>
            <w:shd w:val="clear" w:color="auto" w:fill="F7F7F7"/>
            <w:vAlign w:val="center"/>
          </w:tcPr>
          <w:p w14:paraId="1FF67D0F" w14:textId="77777777" w:rsidR="00733148" w:rsidRPr="00D97597" w:rsidRDefault="00733148" w:rsidP="007463F5">
            <w:pPr>
              <w:ind w:left="75"/>
              <w:rPr>
                <w:rFonts w:cstheme="minorHAnsi"/>
                <w:sz w:val="18"/>
                <w:szCs w:val="18"/>
              </w:rPr>
            </w:pPr>
            <w:r>
              <w:rPr>
                <w:rFonts w:ascii="Calibri" w:eastAsia="Calibri" w:hAnsi="Calibri" w:cs="Calibri"/>
                <w:b/>
                <w:bCs/>
                <w:noProof/>
                <w:sz w:val="18"/>
                <w:szCs w:val="18"/>
              </w:rPr>
              <w:t>Demonstration pilots, awareness raising on cleaner technologies for management of mercury and waste</w:t>
            </w:r>
            <w:r>
              <w:rPr>
                <w:rFonts w:eastAsia="Times New Roman" w:cstheme="minorHAnsi"/>
                <w:sz w:val="18"/>
                <w:szCs w:val="18"/>
              </w:rPr>
              <w:t xml:space="preserve"> </w:t>
            </w:r>
          </w:p>
        </w:tc>
      </w:tr>
      <w:tr w:rsidR="00733148" w14:paraId="7E77A1C9"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FF08705"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Training events for relevant stakeholders conducted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78D5C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BAF3DF1"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CE814ED" w14:textId="77777777" w:rsidR="00733148" w:rsidRPr="00D97597" w:rsidRDefault="00733148" w:rsidP="007463F5">
            <w:pPr>
              <w:spacing w:before="40"/>
              <w:rPr>
                <w:rFonts w:cstheme="minorHAnsi"/>
                <w:sz w:val="18"/>
                <w:szCs w:val="18"/>
              </w:rPr>
            </w:pPr>
            <w:r>
              <w:rPr>
                <w:rFonts w:cstheme="minorHAnsi"/>
                <w:noProof/>
                <w:sz w:val="18"/>
                <w:szCs w:val="18"/>
              </w:rPr>
              <w:t>10.00</w:t>
            </w:r>
          </w:p>
        </w:tc>
      </w:tr>
      <w:tr w:rsidR="00733148" w14:paraId="3D5C9A74"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E86861E"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9D40E88"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73E44E1"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AE564E6"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7AEB172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49E383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4E09623"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6ECA0F9"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EE82549"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079D8D92"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7E4A88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lastRenderedPageBreak/>
              <w:t>Zambia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A234AF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00D25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591DB79"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3592EF6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24CE0FF"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A60710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DBE917"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F89D3E7"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2657B4C7"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0F72762"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(Number)</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4AEBE69"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ECB7386" w14:textId="77777777" w:rsidR="00733148" w:rsidRPr="00D97597" w:rsidRDefault="00733148" w:rsidP="007463F5">
            <w:pPr>
              <w:spacing w:before="40"/>
              <w:rPr>
                <w:rFonts w:cstheme="minorHAnsi"/>
                <w:sz w:val="18"/>
                <w:szCs w:val="18"/>
              </w:rPr>
            </w:pPr>
            <w:r>
              <w:rPr>
                <w:rFonts w:eastAsia="Times New Roman" w:cstheme="minorHAnsi"/>
                <w:noProof/>
                <w:sz w:val="18"/>
                <w:szCs w:val="18"/>
              </w:rPr>
              <w:t>0.00</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1BAA0F" w14:textId="77777777" w:rsidR="00733148" w:rsidRPr="00D97597" w:rsidRDefault="00733148" w:rsidP="007463F5">
            <w:pPr>
              <w:spacing w:before="40"/>
              <w:rPr>
                <w:rFonts w:cstheme="minorHAnsi"/>
                <w:sz w:val="18"/>
                <w:szCs w:val="18"/>
              </w:rPr>
            </w:pPr>
            <w:r>
              <w:rPr>
                <w:rFonts w:cstheme="minorHAnsi"/>
                <w:noProof/>
                <w:sz w:val="18"/>
                <w:szCs w:val="18"/>
              </w:rPr>
              <w:t>2.00</w:t>
            </w:r>
          </w:p>
        </w:tc>
      </w:tr>
      <w:tr w:rsidR="00733148" w14:paraId="5ABBBA58"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DBEFA08" w14:textId="77777777" w:rsidR="00733148" w:rsidRPr="00D97597" w:rsidRDefault="00733148" w:rsidP="007463F5">
            <w:pPr>
              <w:ind w:left="75"/>
              <w:rPr>
                <w:rFonts w:cstheme="minorHAnsi"/>
                <w:sz w:val="18"/>
                <w:szCs w:val="18"/>
              </w:rPr>
            </w:pPr>
            <w:r>
              <w:rPr>
                <w:rFonts w:ascii="Calibri" w:eastAsia="Calibri" w:hAnsi="Calibri" w:cs="Calibri"/>
                <w:noProof/>
                <w:sz w:val="18"/>
                <w:szCs w:val="18"/>
              </w:rPr>
              <w:t>Private sector in selected pilot project sites engaged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28AC02C"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FFB4BD3"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98B098"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40A5A7BB"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EE89703"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Tanzania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BF62E25"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E553C8C"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700B17C"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309B4C5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E2087E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Ghana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10B6484"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D1BF87E"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518B9C3"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54C94D4A"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50CBE7DD"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Zambia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398AEFB6"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21AFE92"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0A4FEA2"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19B9589C"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9A6F1D1"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Kenya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2497AD61"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9E31C88"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48CA7362" w14:textId="77777777" w:rsidR="00733148" w:rsidRPr="00D97597" w:rsidRDefault="00733148" w:rsidP="007463F5">
            <w:pPr>
              <w:spacing w:before="40"/>
              <w:rPr>
                <w:rFonts w:cstheme="minorHAnsi"/>
                <w:sz w:val="18"/>
                <w:szCs w:val="18"/>
              </w:rPr>
            </w:pPr>
            <w:r>
              <w:rPr>
                <w:rFonts w:cstheme="minorHAnsi"/>
                <w:noProof/>
                <w:sz w:val="18"/>
                <w:szCs w:val="18"/>
              </w:rPr>
              <w:t>Yes</w:t>
            </w:r>
          </w:p>
        </w:tc>
      </w:tr>
      <w:tr w:rsidR="00733148" w14:paraId="52E3BA33" w14:textId="77777777" w:rsidTr="007463F5">
        <w:tblPrEx>
          <w:tblCellMar>
            <w:bottom w:w="72" w:type="dxa"/>
          </w:tblCellMar>
        </w:tblPrEx>
        <w:trPr>
          <w:trHeight w:val="20"/>
        </w:trPr>
        <w:tc>
          <w:tcPr>
            <w:tcW w:w="403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768922A0" w14:textId="77777777" w:rsidR="00733148" w:rsidRDefault="00733148" w:rsidP="007463F5">
            <w:pPr>
              <w:ind w:left="300"/>
              <w:rPr>
                <w:rFonts w:eastAsia="Times New Roman" w:cstheme="minorHAnsi"/>
                <w:noProof/>
                <w:sz w:val="18"/>
                <w:szCs w:val="18"/>
              </w:rPr>
            </w:pPr>
            <w:r>
              <w:rPr>
                <w:rFonts w:ascii="Calibri" w:eastAsia="Calibri" w:hAnsi="Calibri" w:cs="Calibri"/>
                <w:noProof/>
                <w:sz w:val="18"/>
                <w:szCs w:val="18"/>
              </w:rPr>
              <w:t>Senegal (Yes/No)</w:t>
            </w:r>
            <w:r>
              <w:rPr>
                <w:rFonts w:eastAsia="Times New Roman" w:cstheme="minorHAnsi"/>
                <w:sz w:val="18"/>
                <w:szCs w:val="18"/>
              </w:rPr>
              <w:t xml:space="preserve"> </w:t>
            </w:r>
          </w:p>
        </w:tc>
        <w:tc>
          <w:tcPr>
            <w:tcW w:w="447"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060238AF" w14:textId="77777777" w:rsidR="00733148" w:rsidRPr="00D97597" w:rsidRDefault="00733148" w:rsidP="007463F5">
            <w:pPr>
              <w:spacing w:before="40"/>
              <w:rPr>
                <w:rFonts w:cstheme="minorHAnsi"/>
                <w:sz w:val="18"/>
                <w:szCs w:val="18"/>
              </w:rPr>
            </w:pPr>
          </w:p>
        </w:tc>
        <w:tc>
          <w:tcPr>
            <w:tcW w:w="3603"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1E453C10" w14:textId="77777777" w:rsidR="00733148" w:rsidRPr="00D97597" w:rsidRDefault="00733148" w:rsidP="007463F5">
            <w:pPr>
              <w:spacing w:before="40"/>
              <w:rPr>
                <w:rFonts w:cstheme="minorHAnsi"/>
                <w:sz w:val="18"/>
                <w:szCs w:val="18"/>
              </w:rPr>
            </w:pPr>
            <w:r>
              <w:rPr>
                <w:rFonts w:eastAsia="Times New Roman" w:cstheme="minorHAnsi"/>
                <w:noProof/>
                <w:sz w:val="18"/>
                <w:szCs w:val="18"/>
              </w:rPr>
              <w:t>No</w:t>
            </w:r>
          </w:p>
        </w:tc>
        <w:tc>
          <w:tcPr>
            <w:tcW w:w="3615" w:type="dxa"/>
            <w:tcBorders>
              <w:top w:val="single" w:sz="4" w:space="0" w:color="D9D9D9"/>
              <w:left w:val="single" w:sz="4" w:space="0" w:color="D9D9D9"/>
              <w:bottom w:val="single" w:sz="4" w:space="0" w:color="D9D9D9"/>
              <w:right w:val="single" w:sz="4" w:space="0" w:color="D9D9D9"/>
            </w:tcBorders>
            <w:shd w:val="clear" w:color="auto" w:fill="F7F7F7"/>
            <w:vAlign w:val="center"/>
          </w:tcPr>
          <w:p w14:paraId="611DE4E9" w14:textId="77777777" w:rsidR="00733148" w:rsidRPr="00D97597" w:rsidRDefault="00733148" w:rsidP="007463F5">
            <w:pPr>
              <w:spacing w:before="40"/>
              <w:rPr>
                <w:rFonts w:cstheme="minorHAnsi"/>
                <w:sz w:val="18"/>
                <w:szCs w:val="18"/>
              </w:rPr>
            </w:pPr>
            <w:r>
              <w:rPr>
                <w:rFonts w:cstheme="minorHAnsi"/>
                <w:noProof/>
                <w:sz w:val="18"/>
                <w:szCs w:val="18"/>
              </w:rPr>
              <w:t>Yes</w:t>
            </w:r>
          </w:p>
        </w:tc>
      </w:tr>
    </w:tbl>
    <w:p w14:paraId="056B2487" w14:textId="77777777" w:rsidR="00733148" w:rsidRDefault="00733148" w:rsidP="00733148">
      <w:pPr>
        <w:shd w:val="clear" w:color="auto" w:fill="F7F7F7"/>
        <w:spacing w:line="14" w:lineRule="exact"/>
        <w:ind w:left="-691" w:right="-418"/>
        <w:rPr>
          <w:b/>
          <w:bCs/>
          <w:color w:val="7F7F7F" w:themeColor="text1" w:themeTint="80"/>
        </w:rPr>
      </w:pPr>
    </w:p>
    <w:tbl>
      <w:tblPr>
        <w:tblStyle w:val="TableGrid230"/>
        <w:tblW w:w="14096"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7F7F7"/>
        <w:tblLook w:val="04A0" w:firstRow="1" w:lastRow="0" w:firstColumn="1" w:lastColumn="0" w:noHBand="0" w:noVBand="1"/>
      </w:tblPr>
      <w:tblGrid>
        <w:gridCol w:w="14096"/>
      </w:tblGrid>
      <w:tr w:rsidR="00733148" w14:paraId="0E191145" w14:textId="77777777" w:rsidTr="007463F5">
        <w:trPr>
          <w:trHeight w:val="576"/>
        </w:trPr>
        <w:tc>
          <w:tcPr>
            <w:tcW w:w="14096" w:type="dxa"/>
            <w:shd w:val="clear" w:color="auto" w:fill="F7F7F7"/>
          </w:tcPr>
          <w:p w14:paraId="7A64F507" w14:textId="77777777" w:rsidR="00733148" w:rsidRDefault="00733148" w:rsidP="007463F5">
            <w:pPr>
              <w:ind w:right="-418"/>
              <w:rPr>
                <w:b/>
                <w:bCs/>
                <w:color w:val="7F7F7F" w:themeColor="text1" w:themeTint="80"/>
              </w:rPr>
            </w:pPr>
            <w:r w:rsidRPr="006E7105">
              <w:rPr>
                <w:b/>
                <w:bCs/>
                <w:color w:val="F7F7F7"/>
              </w:rPr>
              <w:t>IO Table SPACE</w:t>
            </w:r>
          </w:p>
        </w:tc>
      </w:tr>
    </w:tbl>
    <w:p w14:paraId="0FF114D9" w14:textId="77777777" w:rsidR="00733148" w:rsidRDefault="00733148" w:rsidP="00AE2073">
      <w:pPr>
        <w:spacing w:after="0" w:line="240" w:lineRule="auto"/>
        <w:ind w:right="-691"/>
      </w:pPr>
    </w:p>
    <w:p w14:paraId="60E05120" w14:textId="77777777" w:rsidR="00ED6D99" w:rsidRPr="00227066" w:rsidRDefault="00ED6D99" w:rsidP="00ED6D99">
      <w:pPr>
        <w:spacing w:after="0" w:line="240" w:lineRule="auto"/>
        <w:ind w:left="-691" w:right="-691"/>
      </w:pPr>
    </w:p>
    <w:sectPr w:rsidR="00ED6D99" w:rsidRPr="00227066" w:rsidSect="0050211D">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F07E4" w14:textId="77777777" w:rsidR="009E5B6D" w:rsidRDefault="009E5B6D">
      <w:pPr>
        <w:spacing w:after="0" w:line="240" w:lineRule="auto"/>
      </w:pPr>
      <w:r>
        <w:separator/>
      </w:r>
    </w:p>
  </w:endnote>
  <w:endnote w:type="continuationSeparator" w:id="0">
    <w:p w14:paraId="0B6AB0A7" w14:textId="77777777" w:rsidR="009E5B6D" w:rsidRDefault="009E5B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6705223"/>
      <w:docPartObj>
        <w:docPartGallery w:val="Page Numbers (Top of Page)"/>
        <w:docPartUnique/>
      </w:docPartObj>
    </w:sdtPr>
    <w:sdtEndPr>
      <w:rPr>
        <w:sz w:val="16"/>
        <w:szCs w:val="16"/>
      </w:rPr>
    </w:sdtEndPr>
    <w:sdtContent>
      <w:p w14:paraId="3B25B4A6" w14:textId="77777777" w:rsidR="00640326" w:rsidRPr="00DF015E" w:rsidRDefault="000603E8" w:rsidP="00DC6614">
        <w:pPr>
          <w:pStyle w:val="Footer"/>
          <w:jc w:val="right"/>
        </w:pPr>
        <w:r>
          <w:rPr>
            <w:noProof/>
            <w:sz w:val="16"/>
            <w:szCs w:val="16"/>
          </w:rPr>
          <mc:AlternateContent>
            <mc:Choice Requires="wps">
              <w:drawing>
                <wp:anchor distT="0" distB="0" distL="114300" distR="114300" simplePos="0" relativeHeight="251664384" behindDoc="0" locked="0" layoutInCell="1" allowOverlap="1" wp14:anchorId="28B5751F" wp14:editId="545B008D">
                  <wp:simplePos x="0" y="0"/>
                  <wp:positionH relativeFrom="margin">
                    <wp:align>center</wp:align>
                  </wp:positionH>
                  <wp:positionV relativeFrom="paragraph">
                    <wp:posOffset>130810</wp:posOffset>
                  </wp:positionV>
                  <wp:extent cx="7248525" cy="0"/>
                  <wp:effectExtent l="0" t="0" r="28575" b="19050"/>
                  <wp:wrapNone/>
                  <wp:docPr id="16" name="Straight Connector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6" o:spid="_x0000_s2051"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5408" from="0,10.3pt" to="570.75pt,10.3pt" strokecolor="#4e92d1">
                  <w10:wrap anchorx="margin"/>
                </v:line>
              </w:pict>
            </mc:Fallback>
          </mc:AlternateContent>
        </w:r>
        <w:r>
          <w:tab/>
        </w:r>
      </w:p>
      <w:tbl>
        <w:tblPr>
          <w:tblStyle w:val="TableGrid"/>
          <w:tblW w:w="10980" w:type="dxa"/>
          <w:tblInd w:w="-90" w:type="dxa"/>
          <w:tblCellMar>
            <w:left w:w="0" w:type="dxa"/>
            <w:right w:w="0" w:type="dxa"/>
          </w:tblCellMar>
          <w:tblLook w:val="04A0" w:firstRow="1" w:lastRow="0" w:firstColumn="1" w:lastColumn="0" w:noHBand="0" w:noVBand="1"/>
        </w:tblPr>
        <w:tblGrid>
          <w:gridCol w:w="5580"/>
          <w:gridCol w:w="5400"/>
        </w:tblGrid>
        <w:tr w:rsidR="00B649D6" w14:paraId="4F174EC4" w14:textId="77777777" w:rsidTr="00DC6614">
          <w:trPr>
            <w:trHeight w:val="270"/>
          </w:trPr>
          <w:tc>
            <w:tcPr>
              <w:tcW w:w="5580" w:type="dxa"/>
              <w:tcBorders>
                <w:top w:val="nil"/>
                <w:left w:val="nil"/>
                <w:bottom w:val="nil"/>
                <w:right w:val="nil"/>
              </w:tcBorders>
              <w:vAlign w:val="center"/>
            </w:tcPr>
            <w:p w14:paraId="30901767" w14:textId="77777777" w:rsidR="00640326" w:rsidRPr="008C3869" w:rsidRDefault="000603E8" w:rsidP="00DC6614">
              <w:pPr>
                <w:pStyle w:val="Footer"/>
                <w:rPr>
                  <w:color w:val="7F7F7F" w:themeColor="text1" w:themeTint="80"/>
                  <w:sz w:val="16"/>
                  <w:szCs w:val="16"/>
                </w:rPr>
              </w:pPr>
              <w:r>
                <w:rPr>
                  <w:noProof/>
                  <w:sz w:val="16"/>
                  <w:szCs w:val="16"/>
                </w:rPr>
                <w:t>Dec</w:t>
              </w:r>
              <w:r w:rsidRPr="00836DEE">
                <w:rPr>
                  <w:noProof/>
                  <w:color w:val="3B3838" w:themeColor="background2" w:themeShade="40"/>
                  <w:sz w:val="16"/>
                  <w:szCs w:val="16"/>
                </w:rPr>
                <w:t xml:space="preserve"> </w:t>
              </w:r>
              <w:r>
                <w:rPr>
                  <w:noProof/>
                  <w:sz w:val="16"/>
                  <w:szCs w:val="16"/>
                </w:rPr>
                <w:t>16,</w:t>
              </w:r>
              <w:r w:rsidRPr="008C3869">
                <w:rPr>
                  <w:noProof/>
                  <w:sz w:val="16"/>
                  <w:szCs w:val="16"/>
                </w:rPr>
                <w:t xml:space="preserve"> 2019</w:t>
              </w:r>
            </w:p>
          </w:tc>
          <w:tc>
            <w:tcPr>
              <w:tcW w:w="5400" w:type="dxa"/>
              <w:tcBorders>
                <w:top w:val="nil"/>
                <w:left w:val="nil"/>
                <w:bottom w:val="nil"/>
                <w:right w:val="nil"/>
              </w:tcBorders>
              <w:vAlign w:val="center"/>
            </w:tcPr>
            <w:p w14:paraId="22DE8EC1" w14:textId="77777777" w:rsidR="00640326" w:rsidRDefault="000603E8" w:rsidP="00DC6614">
              <w:pPr>
                <w:pStyle w:val="Footer"/>
                <w:jc w:val="right"/>
                <w:rPr>
                  <w:color w:val="7F7F7F" w:themeColor="text1" w:themeTint="80"/>
                  <w:sz w:val="16"/>
                  <w:szCs w:val="16"/>
                </w:rPr>
              </w:pPr>
              <w:r w:rsidRPr="000C12E3">
                <w:rPr>
                  <w:sz w:val="16"/>
                  <w:szCs w:val="16"/>
                </w:rPr>
                <w:t xml:space="preserve">Page </w:t>
              </w:r>
              <w:r w:rsidRPr="000C12E3">
                <w:rPr>
                  <w:bCs/>
                  <w:sz w:val="16"/>
                  <w:szCs w:val="16"/>
                </w:rPr>
                <w:fldChar w:fldCharType="begin"/>
              </w:r>
              <w:r w:rsidRPr="000C12E3">
                <w:rPr>
                  <w:bCs/>
                  <w:sz w:val="16"/>
                  <w:szCs w:val="16"/>
                </w:rPr>
                <w:instrText xml:space="preserve"> PAGE </w:instrText>
              </w:r>
              <w:r w:rsidRPr="000C12E3">
                <w:rPr>
                  <w:bCs/>
                  <w:sz w:val="16"/>
                  <w:szCs w:val="16"/>
                </w:rPr>
                <w:fldChar w:fldCharType="separate"/>
              </w:r>
              <w:r w:rsidRPr="000C12E3">
                <w:rPr>
                  <w:bCs/>
                  <w:sz w:val="16"/>
                  <w:szCs w:val="16"/>
                </w:rPr>
                <w:t>1</w:t>
              </w:r>
              <w:r w:rsidRPr="000C12E3">
                <w:rPr>
                  <w:bCs/>
                  <w:sz w:val="16"/>
                  <w:szCs w:val="16"/>
                </w:rPr>
                <w:fldChar w:fldCharType="end"/>
              </w:r>
              <w:r w:rsidRPr="000C12E3">
                <w:rPr>
                  <w:sz w:val="16"/>
                  <w:szCs w:val="16"/>
                </w:rPr>
                <w:t xml:space="preserve"> of </w:t>
              </w:r>
              <w:r w:rsidRPr="000C12E3">
                <w:rPr>
                  <w:bCs/>
                  <w:sz w:val="16"/>
                  <w:szCs w:val="16"/>
                </w:rPr>
                <w:fldChar w:fldCharType="begin"/>
              </w:r>
              <w:r w:rsidRPr="000C12E3">
                <w:rPr>
                  <w:bCs/>
                  <w:sz w:val="16"/>
                  <w:szCs w:val="16"/>
                </w:rPr>
                <w:instrText xml:space="preserve"> NUMPAGES  </w:instrText>
              </w:r>
              <w:r w:rsidRPr="000C12E3">
                <w:rPr>
                  <w:bCs/>
                  <w:sz w:val="16"/>
                  <w:szCs w:val="16"/>
                </w:rPr>
                <w:fldChar w:fldCharType="separate"/>
              </w:r>
              <w:r w:rsidRPr="000C12E3">
                <w:rPr>
                  <w:bCs/>
                  <w:sz w:val="16"/>
                  <w:szCs w:val="16"/>
                </w:rPr>
                <w:t>7</w:t>
              </w:r>
              <w:r w:rsidRPr="000C12E3">
                <w:rPr>
                  <w:bCs/>
                  <w:sz w:val="16"/>
                  <w:szCs w:val="16"/>
                </w:rPr>
                <w:fldChar w:fldCharType="end"/>
              </w:r>
              <w:r>
                <w:rPr>
                  <w:bCs/>
                  <w:sz w:val="16"/>
                  <w:szCs w:val="16"/>
                </w:rPr>
                <w:t xml:space="preserve"> </w:t>
              </w:r>
            </w:p>
          </w:tc>
        </w:tr>
      </w:tbl>
      <w:p w14:paraId="4C358813" w14:textId="77777777" w:rsidR="00640326" w:rsidRDefault="000603E8" w:rsidP="00DC6614">
        <w:pPr>
          <w:pStyle w:val="Footer"/>
          <w:spacing w:line="160" w:lineRule="exact"/>
        </w:pPr>
        <w:r>
          <w:t xml:space="preserve">    </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4D3840" w14:textId="77777777" w:rsidR="00640326" w:rsidRDefault="000603E8" w:rsidP="008D2AF0">
    <w:pPr>
      <w:pStyle w:val="Footer"/>
      <w:jc w:val="right"/>
    </w:pPr>
    <w:r>
      <w:rPr>
        <w:noProof/>
      </w:rPr>
      <mc:AlternateContent>
        <mc:Choice Requires="wps">
          <w:drawing>
            <wp:anchor distT="0" distB="0" distL="114300" distR="114300" simplePos="0" relativeHeight="251662336" behindDoc="0" locked="0" layoutInCell="1" allowOverlap="1" wp14:anchorId="48AC4D60" wp14:editId="15212682">
              <wp:simplePos x="0" y="0"/>
              <wp:positionH relativeFrom="margin">
                <wp:align>center</wp:align>
              </wp:positionH>
              <wp:positionV relativeFrom="paragraph">
                <wp:posOffset>130810</wp:posOffset>
              </wp:positionV>
              <wp:extent cx="7248525" cy="0"/>
              <wp:effectExtent l="0" t="0" r="952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2054"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63360"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B649D6" w14:paraId="23D0AE68" w14:textId="77777777" w:rsidTr="008D2AF0">
      <w:trPr>
        <w:trHeight w:val="270"/>
      </w:trPr>
      <w:tc>
        <w:tcPr>
          <w:tcW w:w="5580" w:type="dxa"/>
          <w:tcBorders>
            <w:top w:val="nil"/>
            <w:left w:val="nil"/>
            <w:bottom w:val="nil"/>
            <w:right w:val="nil"/>
          </w:tcBorders>
          <w:vAlign w:val="center"/>
          <w:hideMark/>
        </w:tcPr>
        <w:p w14:paraId="4B73CEEF" w14:textId="77777777" w:rsidR="00640326" w:rsidRPr="00E143A5" w:rsidRDefault="000603E8">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Dec</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16, 2019</w:t>
          </w:r>
        </w:p>
      </w:tc>
      <w:tc>
        <w:tcPr>
          <w:tcW w:w="5400" w:type="dxa"/>
          <w:tcBorders>
            <w:top w:val="nil"/>
            <w:left w:val="nil"/>
            <w:bottom w:val="nil"/>
            <w:right w:val="nil"/>
          </w:tcBorders>
          <w:vAlign w:val="center"/>
          <w:hideMark/>
        </w:tcPr>
        <w:p w14:paraId="34D67EF1" w14:textId="77777777" w:rsidR="00640326" w:rsidRPr="00E143A5" w:rsidRDefault="000603E8">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5</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7</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17BF90DE" w14:textId="77777777" w:rsidR="00640326" w:rsidRDefault="00640326" w:rsidP="00CC0A9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18DE97" w14:textId="77777777" w:rsidR="00640326" w:rsidRDefault="000603E8" w:rsidP="008D2AF0">
    <w:pPr>
      <w:pStyle w:val="Footer"/>
      <w:jc w:val="right"/>
    </w:pPr>
    <w:r>
      <w:rPr>
        <w:noProof/>
      </w:rPr>
      <mc:AlternateContent>
        <mc:Choice Requires="wps">
          <w:drawing>
            <wp:anchor distT="0" distB="0" distL="114300" distR="114300" simplePos="0" relativeHeight="251674624" behindDoc="0" locked="0" layoutInCell="1" allowOverlap="1" wp14:anchorId="7A4EEF06" wp14:editId="4134BB8E">
              <wp:simplePos x="0" y="0"/>
              <wp:positionH relativeFrom="margin">
                <wp:align>center</wp:align>
              </wp:positionH>
              <wp:positionV relativeFrom="paragraph">
                <wp:posOffset>130810</wp:posOffset>
              </wp:positionV>
              <wp:extent cx="7248525" cy="0"/>
              <wp:effectExtent l="0" t="0" r="9525" b="19050"/>
              <wp:wrapNone/>
              <wp:docPr id="225" name="Straight Connector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48525"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25" o:spid="_x0000_s2057" style="mso-height-percent:0;mso-height-relative:page;mso-position-horizontal:center;mso-position-horizontal-relative:margin;mso-width-percent:0;mso-width-relative:page;mso-wrap-distance-bottom:0;mso-wrap-distance-left:9pt;mso-wrap-distance-right:9pt;mso-wrap-distance-top:0;mso-wrap-style:square;position:absolute;visibility:visible;z-index:251675648" from="0,10.3pt" to="570.75pt,10.3pt" strokecolor="#4e92d1">
              <w10:wrap anchorx="margin"/>
            </v:line>
          </w:pict>
        </mc:Fallback>
      </mc:AlternateContent>
    </w:r>
    <w:r>
      <w:tab/>
    </w:r>
  </w:p>
  <w:tbl>
    <w:tblPr>
      <w:tblStyle w:val="TableGrid"/>
      <w:tblW w:w="10980" w:type="dxa"/>
      <w:tblInd w:w="-864" w:type="dxa"/>
      <w:tblCellMar>
        <w:left w:w="0" w:type="dxa"/>
        <w:right w:w="0" w:type="dxa"/>
      </w:tblCellMar>
      <w:tblLook w:val="04A0" w:firstRow="1" w:lastRow="0" w:firstColumn="1" w:lastColumn="0" w:noHBand="0" w:noVBand="1"/>
    </w:tblPr>
    <w:tblGrid>
      <w:gridCol w:w="5580"/>
      <w:gridCol w:w="5400"/>
    </w:tblGrid>
    <w:tr w:rsidR="00B649D6" w14:paraId="7D821719" w14:textId="77777777" w:rsidTr="008D2AF0">
      <w:trPr>
        <w:trHeight w:val="270"/>
      </w:trPr>
      <w:tc>
        <w:tcPr>
          <w:tcW w:w="5580" w:type="dxa"/>
          <w:tcBorders>
            <w:top w:val="nil"/>
            <w:left w:val="nil"/>
            <w:bottom w:val="nil"/>
            <w:right w:val="nil"/>
          </w:tcBorders>
          <w:vAlign w:val="center"/>
          <w:hideMark/>
        </w:tcPr>
        <w:p w14:paraId="7E202E2E" w14:textId="77777777" w:rsidR="00640326" w:rsidRPr="00E143A5" w:rsidRDefault="000603E8">
          <w:pPr>
            <w:pStyle w:val="Footer"/>
            <w:rPr>
              <w:rFonts w:ascii="Arial" w:eastAsiaTheme="minorEastAsia" w:hAnsi="Arial" w:cs="Arial"/>
              <w:color w:val="7F7F7F" w:themeColor="text1" w:themeTint="80"/>
              <w:sz w:val="16"/>
              <w:szCs w:val="16"/>
            </w:rPr>
          </w:pPr>
          <w:r w:rsidRPr="00E143A5">
            <w:rPr>
              <w:rFonts w:ascii="Arial" w:hAnsi="Arial" w:cs="Arial"/>
              <w:noProof/>
              <w:sz w:val="16"/>
              <w:szCs w:val="16"/>
            </w:rPr>
            <w:t>Dec</w:t>
          </w:r>
          <w:r w:rsidRPr="00E143A5">
            <w:rPr>
              <w:rFonts w:ascii="Arial" w:hAnsi="Arial" w:cs="Arial"/>
              <w:noProof/>
              <w:color w:val="3B3838" w:themeColor="background2" w:themeShade="40"/>
              <w:sz w:val="16"/>
              <w:szCs w:val="16"/>
            </w:rPr>
            <w:t xml:space="preserve"> </w:t>
          </w:r>
          <w:r w:rsidRPr="00E143A5">
            <w:rPr>
              <w:rFonts w:ascii="Arial" w:hAnsi="Arial" w:cs="Arial"/>
              <w:noProof/>
              <w:sz w:val="16"/>
              <w:szCs w:val="16"/>
            </w:rPr>
            <w:t>16, 2019</w:t>
          </w:r>
        </w:p>
      </w:tc>
      <w:tc>
        <w:tcPr>
          <w:tcW w:w="5400" w:type="dxa"/>
          <w:tcBorders>
            <w:top w:val="nil"/>
            <w:left w:val="nil"/>
            <w:bottom w:val="nil"/>
            <w:right w:val="nil"/>
          </w:tcBorders>
          <w:vAlign w:val="center"/>
          <w:hideMark/>
        </w:tcPr>
        <w:p w14:paraId="3398870F" w14:textId="77777777" w:rsidR="00640326" w:rsidRPr="00E143A5" w:rsidRDefault="000603E8">
          <w:pPr>
            <w:pStyle w:val="Footer"/>
            <w:jc w:val="right"/>
            <w:rPr>
              <w:rFonts w:ascii="Arial" w:eastAsiaTheme="minorEastAsia" w:hAnsi="Arial" w:cs="Arial"/>
              <w:color w:val="7F7F7F" w:themeColor="text1" w:themeTint="80"/>
              <w:sz w:val="16"/>
              <w:szCs w:val="16"/>
            </w:rPr>
          </w:pPr>
          <w:r w:rsidRPr="00E143A5">
            <w:rPr>
              <w:rFonts w:ascii="Arial" w:hAnsi="Arial" w:cs="Arial"/>
              <w:sz w:val="16"/>
              <w:szCs w:val="16"/>
            </w:rPr>
            <w:t xml:space="preserve">Page </w:t>
          </w:r>
          <w:r w:rsidRPr="00E143A5">
            <w:rPr>
              <w:rFonts w:ascii="Arial" w:hAnsi="Arial" w:cs="Arial"/>
              <w:bCs/>
              <w:sz w:val="16"/>
              <w:szCs w:val="16"/>
            </w:rPr>
            <w:fldChar w:fldCharType="begin"/>
          </w:r>
          <w:r w:rsidRPr="00E143A5">
            <w:rPr>
              <w:rFonts w:ascii="Arial" w:hAnsi="Arial" w:cs="Arial"/>
              <w:bCs/>
              <w:sz w:val="16"/>
              <w:szCs w:val="16"/>
            </w:rPr>
            <w:instrText xml:space="preserve"> PAGE </w:instrText>
          </w:r>
          <w:r w:rsidRPr="00E143A5">
            <w:rPr>
              <w:rFonts w:ascii="Arial" w:hAnsi="Arial" w:cs="Arial"/>
              <w:bCs/>
              <w:sz w:val="16"/>
              <w:szCs w:val="16"/>
            </w:rPr>
            <w:fldChar w:fldCharType="separate"/>
          </w:r>
          <w:r w:rsidRPr="00E143A5">
            <w:rPr>
              <w:rFonts w:ascii="Arial" w:hAnsi="Arial" w:cs="Arial"/>
              <w:bCs/>
              <w:sz w:val="16"/>
              <w:szCs w:val="16"/>
            </w:rPr>
            <w:t>7</w:t>
          </w:r>
          <w:r w:rsidRPr="00E143A5">
            <w:rPr>
              <w:rFonts w:ascii="Arial" w:hAnsi="Arial" w:cs="Arial"/>
              <w:bCs/>
              <w:sz w:val="16"/>
              <w:szCs w:val="16"/>
            </w:rPr>
            <w:fldChar w:fldCharType="end"/>
          </w:r>
          <w:r w:rsidRPr="00E143A5">
            <w:rPr>
              <w:rFonts w:ascii="Arial" w:hAnsi="Arial" w:cs="Arial"/>
              <w:sz w:val="16"/>
              <w:szCs w:val="16"/>
            </w:rPr>
            <w:t xml:space="preserve"> of </w:t>
          </w:r>
          <w:r w:rsidRPr="00E143A5">
            <w:rPr>
              <w:rFonts w:ascii="Arial" w:hAnsi="Arial" w:cs="Arial"/>
              <w:bCs/>
              <w:sz w:val="16"/>
              <w:szCs w:val="16"/>
            </w:rPr>
            <w:fldChar w:fldCharType="begin"/>
          </w:r>
          <w:r w:rsidRPr="00E143A5">
            <w:rPr>
              <w:rFonts w:ascii="Arial" w:hAnsi="Arial" w:cs="Arial"/>
              <w:bCs/>
              <w:sz w:val="16"/>
              <w:szCs w:val="16"/>
            </w:rPr>
            <w:instrText xml:space="preserve"> NUMPAGES  </w:instrText>
          </w:r>
          <w:r w:rsidRPr="00E143A5">
            <w:rPr>
              <w:rFonts w:ascii="Arial" w:hAnsi="Arial" w:cs="Arial"/>
              <w:bCs/>
              <w:sz w:val="16"/>
              <w:szCs w:val="16"/>
            </w:rPr>
            <w:fldChar w:fldCharType="separate"/>
          </w:r>
          <w:r w:rsidRPr="00E143A5">
            <w:rPr>
              <w:rFonts w:ascii="Arial" w:hAnsi="Arial" w:cs="Arial"/>
              <w:bCs/>
              <w:sz w:val="16"/>
              <w:szCs w:val="16"/>
            </w:rPr>
            <w:t>7</w:t>
          </w:r>
          <w:r w:rsidRPr="00E143A5">
            <w:rPr>
              <w:rFonts w:ascii="Arial" w:hAnsi="Arial" w:cs="Arial"/>
              <w:bCs/>
              <w:sz w:val="16"/>
              <w:szCs w:val="16"/>
            </w:rPr>
            <w:fldChar w:fldCharType="end"/>
          </w:r>
          <w:r w:rsidRPr="00E143A5">
            <w:rPr>
              <w:rFonts w:ascii="Arial" w:hAnsi="Arial" w:cs="Arial"/>
              <w:bCs/>
              <w:sz w:val="16"/>
              <w:szCs w:val="16"/>
            </w:rPr>
            <w:t xml:space="preserve"> </w:t>
          </w:r>
        </w:p>
      </w:tc>
    </w:tr>
  </w:tbl>
  <w:p w14:paraId="02BD1352" w14:textId="77777777" w:rsidR="00640326" w:rsidRDefault="00640326" w:rsidP="00CC0A9A"/>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6792159"/>
      <w:docPartObj>
        <w:docPartGallery w:val="Page Numbers (Top of Page)"/>
        <w:docPartUnique/>
      </w:docPartObj>
    </w:sdtPr>
    <w:sdtEndPr>
      <w:rPr>
        <w:sz w:val="16"/>
        <w:szCs w:val="16"/>
      </w:rPr>
    </w:sdtEndPr>
    <w:sdtContent>
      <w:p w14:paraId="70751922" w14:textId="77777777" w:rsidR="00733148" w:rsidRPr="00DF015E" w:rsidRDefault="00733148" w:rsidP="003615CB">
        <w:pPr>
          <w:pStyle w:val="Footer"/>
          <w:jc w:val="right"/>
        </w:pPr>
        <w:r>
          <w:rPr>
            <w:noProof/>
            <w:sz w:val="16"/>
            <w:szCs w:val="16"/>
          </w:rPr>
          <mc:AlternateContent>
            <mc:Choice Requires="wps">
              <w:drawing>
                <wp:anchor distT="0" distB="0" distL="114300" distR="114300" simplePos="0" relativeHeight="251679744" behindDoc="0" locked="0" layoutInCell="1" allowOverlap="1" wp14:anchorId="4CA670AF" wp14:editId="283DBF98">
                  <wp:simplePos x="0" y="0"/>
                  <wp:positionH relativeFrom="margin">
                    <wp:posOffset>-495300</wp:posOffset>
                  </wp:positionH>
                  <wp:positionV relativeFrom="paragraph">
                    <wp:posOffset>128270</wp:posOffset>
                  </wp:positionV>
                  <wp:extent cx="9239250" cy="0"/>
                  <wp:effectExtent l="0" t="0" r="0" b="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39250" cy="0"/>
                          </a:xfrm>
                          <a:prstGeom prst="line">
                            <a:avLst/>
                          </a:prstGeom>
                          <a:noFill/>
                          <a:ln w="9525">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1DD9D92" id="Straight Connector 13" o:spid="_x0000_s1026" style="position:absolute;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39pt,10.1pt" to="68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" strokecolor="#4e92d1 [3044]">
                  <w10:wrap anchorx="margin"/>
                </v:line>
              </w:pict>
            </mc:Fallback>
          </mc:AlternateContent>
        </w:r>
        <w:r>
          <w:tab/>
        </w:r>
      </w:p>
      <w:tbl>
        <w:tblPr>
          <w:tblStyle w:val="TableGrid"/>
          <w:tblW w:w="13050" w:type="dxa"/>
          <w:jc w:val="center"/>
          <w:tblCellMar>
            <w:left w:w="0" w:type="dxa"/>
            <w:right w:w="0" w:type="dxa"/>
          </w:tblCellMar>
          <w:tblLook w:val="04A0" w:firstRow="1" w:lastRow="0" w:firstColumn="1" w:lastColumn="0" w:noHBand="0" w:noVBand="1"/>
        </w:tblPr>
        <w:tblGrid>
          <w:gridCol w:w="5580"/>
          <w:gridCol w:w="7470"/>
        </w:tblGrid>
        <w:tr w:rsidR="00733148" w14:paraId="0D87233B" w14:textId="77777777" w:rsidTr="00642F73">
          <w:trPr>
            <w:trHeight w:val="270"/>
            <w:jc w:val="center"/>
          </w:trPr>
          <w:tc>
            <w:tcPr>
              <w:tcW w:w="5580" w:type="dxa"/>
              <w:tcBorders>
                <w:top w:val="nil"/>
                <w:left w:val="nil"/>
                <w:bottom w:val="nil"/>
                <w:right w:val="nil"/>
              </w:tcBorders>
              <w:vAlign w:val="center"/>
            </w:tcPr>
            <w:p w14:paraId="57521A5F" w14:textId="77777777" w:rsidR="00733148" w:rsidRPr="008C3869" w:rsidRDefault="00733148" w:rsidP="003615CB">
              <w:pPr>
                <w:pStyle w:val="Footer"/>
                <w:rPr>
                  <w:color w:val="7F7F7F" w:themeColor="text1" w:themeTint="80"/>
                  <w:sz w:val="16"/>
                  <w:szCs w:val="16"/>
                </w:rPr>
              </w:pPr>
            </w:p>
          </w:tc>
          <w:tc>
            <w:tcPr>
              <w:tcW w:w="7470" w:type="dxa"/>
              <w:tcBorders>
                <w:top w:val="nil"/>
                <w:left w:val="nil"/>
                <w:bottom w:val="nil"/>
                <w:right w:val="nil"/>
              </w:tcBorders>
              <w:vAlign w:val="center"/>
            </w:tcPr>
            <w:p w14:paraId="03CA9372" w14:textId="74331CF5" w:rsidR="00733148" w:rsidRDefault="00733148" w:rsidP="00E925CE">
              <w:pPr>
                <w:pStyle w:val="Footer"/>
                <w:ind w:right="89"/>
                <w:jc w:val="right"/>
                <w:rPr>
                  <w:color w:val="7F7F7F" w:themeColor="text1" w:themeTint="80"/>
                  <w:sz w:val="16"/>
                  <w:szCs w:val="16"/>
                </w:rPr>
              </w:pPr>
              <w:r w:rsidRPr="000C12E3">
                <w:rPr>
                  <w:sz w:val="16"/>
                  <w:szCs w:val="16"/>
                </w:rPr>
                <w:t xml:space="preserve">Page </w:t>
              </w:r>
              <w:r>
                <w:rPr>
                  <w:bCs/>
                  <w:sz w:val="16"/>
                  <w:szCs w:val="16"/>
                </w:rPr>
                <w:fldChar w:fldCharType="begin"/>
              </w:r>
              <w:r>
                <w:rPr>
                  <w:bCs/>
                  <w:sz w:val="16"/>
                  <w:szCs w:val="16"/>
                </w:rPr>
                <w:instrText xml:space="preserve"> PAGE  \* Arabic </w:instrText>
              </w:r>
              <w:r>
                <w:rPr>
                  <w:bCs/>
                  <w:sz w:val="16"/>
                  <w:szCs w:val="16"/>
                </w:rPr>
                <w:fldChar w:fldCharType="separate"/>
              </w:r>
              <w:r>
                <w:rPr>
                  <w:bCs/>
                  <w:sz w:val="16"/>
                  <w:szCs w:val="16"/>
                </w:rPr>
                <w:t>39</w:t>
              </w:r>
              <w:r>
                <w:rPr>
                  <w:bCs/>
                  <w:sz w:val="16"/>
                  <w:szCs w:val="16"/>
                </w:rPr>
                <w:fldChar w:fldCharType="end"/>
              </w:r>
              <w:r w:rsidRPr="000C12E3">
                <w:rPr>
                  <w:sz w:val="16"/>
                  <w:szCs w:val="16"/>
                </w:rPr>
                <w:t xml:space="preserve"> of </w:t>
              </w:r>
              <w:r>
                <w:rPr>
                  <w:bCs/>
                  <w:sz w:val="16"/>
                  <w:szCs w:val="16"/>
                </w:rPr>
                <w:fldChar w:fldCharType="begin"/>
              </w:r>
              <w:r>
                <w:rPr>
                  <w:bCs/>
                  <w:sz w:val="16"/>
                  <w:szCs w:val="16"/>
                </w:rPr>
                <w:instrText xml:space="preserve">= </w:instrText>
              </w:r>
              <w:r>
                <w:rPr>
                  <w:bCs/>
                  <w:sz w:val="16"/>
                  <w:szCs w:val="16"/>
                </w:rPr>
                <w:fldChar w:fldCharType="begin"/>
              </w:r>
              <w:r>
                <w:rPr>
                  <w:bCs/>
                  <w:sz w:val="16"/>
                  <w:szCs w:val="16"/>
                </w:rPr>
                <w:instrText xml:space="preserve"> NUMPAGES  \* Arabic </w:instrText>
              </w:r>
              <w:r>
                <w:rPr>
                  <w:bCs/>
                  <w:sz w:val="16"/>
                  <w:szCs w:val="16"/>
                </w:rPr>
                <w:fldChar w:fldCharType="separate"/>
              </w:r>
              <w:r w:rsidR="004829B3">
                <w:rPr>
                  <w:bCs/>
                  <w:noProof/>
                  <w:sz w:val="16"/>
                  <w:szCs w:val="16"/>
                </w:rPr>
                <w:instrText>135</w:instrText>
              </w:r>
              <w:r>
                <w:rPr>
                  <w:bCs/>
                  <w:sz w:val="16"/>
                  <w:szCs w:val="16"/>
                </w:rPr>
                <w:fldChar w:fldCharType="end"/>
              </w:r>
              <w:r>
                <w:rPr>
                  <w:bCs/>
                  <w:sz w:val="16"/>
                  <w:szCs w:val="16"/>
                </w:rPr>
                <w:instrText xml:space="preserve"> - </w:instrText>
              </w:r>
              <w:r>
                <w:rPr>
                  <w:bCs/>
                  <w:sz w:val="16"/>
                  <w:szCs w:val="16"/>
                </w:rPr>
                <w:fldChar w:fldCharType="begin"/>
              </w:r>
              <w:r>
                <w:rPr>
                  <w:bCs/>
                  <w:sz w:val="16"/>
                  <w:szCs w:val="16"/>
                </w:rPr>
                <w:instrText xml:space="preserve"> PAGEREF SECTION4 </w:instrText>
              </w:r>
              <w:r>
                <w:rPr>
                  <w:bCs/>
                  <w:sz w:val="16"/>
                  <w:szCs w:val="16"/>
                </w:rPr>
                <w:fldChar w:fldCharType="separate"/>
              </w:r>
              <w:r w:rsidR="004829B3">
                <w:rPr>
                  <w:b/>
                  <w:noProof/>
                  <w:sz w:val="16"/>
                  <w:szCs w:val="16"/>
                </w:rPr>
                <w:instrText>Error! Bookmark not defined.</w:instrText>
              </w:r>
              <w:r>
                <w:rPr>
                  <w:bCs/>
                  <w:sz w:val="16"/>
                  <w:szCs w:val="16"/>
                </w:rPr>
                <w:fldChar w:fldCharType="end"/>
              </w:r>
              <w:r>
                <w:rPr>
                  <w:bCs/>
                  <w:sz w:val="16"/>
                  <w:szCs w:val="16"/>
                </w:rPr>
                <w:instrText>-</w:instrText>
              </w:r>
              <w:r>
                <w:rPr>
                  <w:bCs/>
                  <w:sz w:val="16"/>
                  <w:szCs w:val="16"/>
                </w:rPr>
                <w:fldChar w:fldCharType="begin"/>
              </w:r>
              <w:r>
                <w:rPr>
                  <w:bCs/>
                  <w:sz w:val="16"/>
                  <w:szCs w:val="16"/>
                </w:rPr>
                <w:instrText xml:space="preserve"> PAGEREF SECTION2 </w:instrText>
              </w:r>
              <w:r>
                <w:rPr>
                  <w:bCs/>
                  <w:sz w:val="16"/>
                  <w:szCs w:val="16"/>
                </w:rPr>
                <w:fldChar w:fldCharType="separate"/>
              </w:r>
              <w:r w:rsidR="004829B3">
                <w:rPr>
                  <w:b/>
                  <w:noProof/>
                  <w:sz w:val="16"/>
                  <w:szCs w:val="16"/>
                </w:rPr>
                <w:instrText>Error! Bookmark not defined.</w:instrText>
              </w:r>
              <w:r>
                <w:rPr>
                  <w:bCs/>
                  <w:sz w:val="16"/>
                  <w:szCs w:val="16"/>
                </w:rPr>
                <w:fldChar w:fldCharType="end"/>
              </w:r>
              <w:r>
                <w:rPr>
                  <w:bCs/>
                  <w:sz w:val="16"/>
                  <w:szCs w:val="16"/>
                </w:rPr>
                <w:fldChar w:fldCharType="separate"/>
              </w:r>
              <w:r w:rsidR="004829B3">
                <w:rPr>
                  <w:b/>
                  <w:bCs/>
                  <w:noProof/>
                  <w:sz w:val="16"/>
                  <w:szCs w:val="16"/>
                </w:rPr>
                <w:t>!Syntax Error, !</w:t>
              </w:r>
              <w:r>
                <w:rPr>
                  <w:bCs/>
                  <w:sz w:val="16"/>
                  <w:szCs w:val="16"/>
                </w:rPr>
                <w:fldChar w:fldCharType="end"/>
              </w:r>
              <w:r>
                <w:rPr>
                  <w:bCs/>
                  <w:sz w:val="16"/>
                  <w:szCs w:val="16"/>
                </w:rPr>
                <w:t xml:space="preserve"> </w:t>
              </w:r>
            </w:p>
          </w:tc>
        </w:tr>
      </w:tbl>
      <w:p w14:paraId="145F455C" w14:textId="77777777" w:rsidR="00733148" w:rsidRDefault="00733148" w:rsidP="003615CB">
        <w:pPr>
          <w:pStyle w:val="Footer"/>
          <w:spacing w:line="160" w:lineRule="exact"/>
        </w:pPr>
        <w:r>
          <w:t xml:space="preserve">    </w:t>
        </w:r>
      </w:p>
    </w:sdtContent>
  </w:sdt>
  <w:p w14:paraId="25F4935F" w14:textId="77777777" w:rsidR="00733148" w:rsidRDefault="00733148">
    <w:pPr>
      <w:pStyle w:val="Footer"/>
    </w:pPr>
  </w:p>
  <w:p w14:paraId="2986399C" w14:textId="77777777" w:rsidR="00733148" w:rsidRDefault="007331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A2BC91" w14:textId="77777777" w:rsidR="009E5B6D" w:rsidRDefault="009E5B6D">
      <w:pPr>
        <w:spacing w:after="0" w:line="240" w:lineRule="auto"/>
      </w:pPr>
      <w:r>
        <w:separator/>
      </w:r>
    </w:p>
  </w:footnote>
  <w:footnote w:type="continuationSeparator" w:id="0">
    <w:p w14:paraId="44E0DDA2" w14:textId="77777777" w:rsidR="009E5B6D" w:rsidRDefault="009E5B6D">
      <w:pPr>
        <w:spacing w:after="0" w:line="240" w:lineRule="auto"/>
      </w:pPr>
      <w:r>
        <w:continuationSeparator/>
      </w:r>
    </w:p>
  </w:footnote>
  <w:footnote w:id="1">
    <w:p w14:paraId="4535B2C6" w14:textId="77777777" w:rsidR="0016455E" w:rsidRPr="00E736E9" w:rsidRDefault="0016455E" w:rsidP="0016455E">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AfDB: African Economic outlook 2018.</w:t>
      </w:r>
    </w:p>
  </w:footnote>
  <w:footnote w:id="2">
    <w:p w14:paraId="381824D4" w14:textId="77777777" w:rsidR="0016455E" w:rsidRPr="00E736E9" w:rsidRDefault="0016455E" w:rsidP="0016455E">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Ibid.</w:t>
      </w:r>
    </w:p>
  </w:footnote>
  <w:footnote w:id="3">
    <w:p w14:paraId="1149BD1F"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Out of an estimated global total of 3.5 million. UNEP’s Global Mercury Assessment of 2013.</w:t>
      </w:r>
    </w:p>
  </w:footnote>
  <w:footnote w:id="4">
    <w:p w14:paraId="54E91B83"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UNDP, 2013; World Bank Indicators, 2014.</w:t>
      </w:r>
    </w:p>
  </w:footnote>
  <w:footnote w:id="5">
    <w:p w14:paraId="0DD154D9"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w:t>
      </w:r>
      <w:proofErr w:type="spellStart"/>
      <w:r w:rsidRPr="00E736E9">
        <w:rPr>
          <w:sz w:val="16"/>
          <w:szCs w:val="16"/>
        </w:rPr>
        <w:t>Dabrowski</w:t>
      </w:r>
      <w:proofErr w:type="spellEnd"/>
      <w:r w:rsidRPr="00E736E9">
        <w:rPr>
          <w:sz w:val="16"/>
          <w:szCs w:val="16"/>
        </w:rPr>
        <w:t xml:space="preserve"> JM, Ashton PJ, Murray K, Leaner JJ, Mason RP. 2008. “Anthropogenic mercury emissions in South Africa: Coal combustion in power plants.” </w:t>
      </w:r>
      <w:r w:rsidRPr="00E736E9">
        <w:rPr>
          <w:i/>
          <w:sz w:val="16"/>
          <w:szCs w:val="16"/>
        </w:rPr>
        <w:t>Atmos Environ</w:t>
      </w:r>
      <w:r w:rsidRPr="00E736E9">
        <w:rPr>
          <w:sz w:val="16"/>
          <w:szCs w:val="16"/>
        </w:rPr>
        <w:t>, 42:6620-6626.</w:t>
      </w:r>
    </w:p>
  </w:footnote>
  <w:footnote w:id="6">
    <w:p w14:paraId="32B0BDA8"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The World Bank Report on Mercury Trade and Use in Artisanal and Small-scale Mining in Sub-Saharan Africa (2016)</w:t>
      </w:r>
    </w:p>
  </w:footnote>
  <w:footnote w:id="7">
    <w:p w14:paraId="4168B20B" w14:textId="77777777" w:rsidR="0016455E" w:rsidRPr="00E736E9" w:rsidRDefault="0016455E" w:rsidP="0016455E">
      <w:pPr>
        <w:pStyle w:val="FootnoteText"/>
        <w:rPr>
          <w:sz w:val="16"/>
          <w:szCs w:val="16"/>
          <w:lang w:val="pt-BR"/>
        </w:rPr>
      </w:pPr>
      <w:r w:rsidRPr="00E736E9">
        <w:rPr>
          <w:rStyle w:val="FootnoteReference"/>
          <w:sz w:val="16"/>
          <w:szCs w:val="16"/>
        </w:rPr>
        <w:footnoteRef/>
      </w:r>
      <w:r w:rsidRPr="00E736E9">
        <w:rPr>
          <w:sz w:val="16"/>
          <w:szCs w:val="16"/>
          <w:lang w:val="pt-BR"/>
        </w:rPr>
        <w:t xml:space="preserve"> </w:t>
      </w:r>
      <w:r w:rsidRPr="00E736E9">
        <w:rPr>
          <w:sz w:val="16"/>
          <w:szCs w:val="16"/>
          <w:lang w:val="pt-BR"/>
        </w:rPr>
        <w:t>UNU Global E-waste Monitor 2017.</w:t>
      </w:r>
    </w:p>
  </w:footnote>
  <w:footnote w:id="8">
    <w:p w14:paraId="68832BEE"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The World Bank 2014: Green ICT: Sustainable E-waste Management in Sub-Saharan Africa.</w:t>
      </w:r>
      <w:r w:rsidRPr="00E736E9">
        <w:rPr>
          <w:bCs/>
          <w:spacing w:val="5"/>
          <w:kern w:val="28"/>
          <w:sz w:val="16"/>
          <w:szCs w:val="16"/>
        </w:rPr>
        <w:t xml:space="preserve"> </w:t>
      </w:r>
    </w:p>
  </w:footnote>
  <w:footnote w:id="9">
    <w:p w14:paraId="0B3944CC" w14:textId="77777777" w:rsidR="0016455E" w:rsidRPr="00E736E9" w:rsidRDefault="0016455E" w:rsidP="0016455E">
      <w:pPr>
        <w:pStyle w:val="FootnoteText"/>
        <w:rPr>
          <w:sz w:val="16"/>
          <w:szCs w:val="16"/>
        </w:rPr>
      </w:pPr>
      <w:r w:rsidRPr="00E736E9">
        <w:rPr>
          <w:sz w:val="16"/>
          <w:szCs w:val="16"/>
        </w:rPr>
        <w:footnoteRef/>
      </w:r>
      <w:r w:rsidRPr="00E736E9">
        <w:rPr>
          <w:sz w:val="16"/>
          <w:szCs w:val="16"/>
        </w:rPr>
        <w:t xml:space="preserve"> Lindgren K. The global impact of e-waste: addressing the challenge / Karin Lundgren; International </w:t>
      </w:r>
      <w:proofErr w:type="spellStart"/>
      <w:r w:rsidRPr="00E736E9">
        <w:rPr>
          <w:sz w:val="16"/>
          <w:szCs w:val="16"/>
        </w:rPr>
        <w:t>Labour</w:t>
      </w:r>
      <w:proofErr w:type="spellEnd"/>
      <w:r w:rsidRPr="00E736E9">
        <w:rPr>
          <w:sz w:val="16"/>
          <w:szCs w:val="16"/>
        </w:rPr>
        <w:t xml:space="preserve"> Office, </w:t>
      </w:r>
      <w:proofErr w:type="spellStart"/>
      <w:r w:rsidRPr="00E736E9">
        <w:rPr>
          <w:sz w:val="16"/>
          <w:szCs w:val="16"/>
        </w:rPr>
        <w:t>Programme</w:t>
      </w:r>
      <w:proofErr w:type="spellEnd"/>
      <w:r w:rsidRPr="00E736E9">
        <w:rPr>
          <w:sz w:val="16"/>
          <w:szCs w:val="16"/>
        </w:rPr>
        <w:t xml:space="preserve"> on Safety and Health at Work and the Environment (SafeWork), Sectoral Activities Department (SECTOR). – Geneva: ILO, 2012.</w:t>
      </w:r>
    </w:p>
  </w:footnote>
  <w:footnote w:id="10">
    <w:p w14:paraId="2F10F8D6" w14:textId="77777777" w:rsidR="0016455E" w:rsidRPr="00E736E9" w:rsidRDefault="0016455E" w:rsidP="0016455E">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UPOPS are persistent organic pollutants that are formed and released unintentionally from anthropogenic sources and include the following chemicals: Polychlorinated dibenzo-p-dioxins and dibenzofurans (PCDD/PCDF), Hexachlorobenzene (HCB), and Polychlorinated biphenyls (PCB), and </w:t>
      </w:r>
      <w:proofErr w:type="spellStart"/>
      <w:r w:rsidRPr="00E736E9">
        <w:rPr>
          <w:rFonts w:cstheme="minorHAnsi"/>
          <w:sz w:val="16"/>
          <w:szCs w:val="16"/>
        </w:rPr>
        <w:t>Pentachlorobenzene</w:t>
      </w:r>
      <w:proofErr w:type="spellEnd"/>
      <w:r w:rsidRPr="00E736E9">
        <w:rPr>
          <w:rFonts w:cstheme="minorHAnsi"/>
          <w:sz w:val="16"/>
          <w:szCs w:val="16"/>
        </w:rPr>
        <w:t xml:space="preserve"> (</w:t>
      </w:r>
      <w:proofErr w:type="spellStart"/>
      <w:r w:rsidRPr="00E736E9">
        <w:rPr>
          <w:rFonts w:cstheme="minorHAnsi"/>
          <w:sz w:val="16"/>
          <w:szCs w:val="16"/>
        </w:rPr>
        <w:t>PeCB</w:t>
      </w:r>
      <w:proofErr w:type="spellEnd"/>
      <w:r w:rsidRPr="00E736E9">
        <w:rPr>
          <w:rFonts w:cstheme="minorHAnsi"/>
          <w:sz w:val="16"/>
          <w:szCs w:val="16"/>
        </w:rPr>
        <w:t xml:space="preserve">). See Stockholm Convention Annex Parts I-III for details.  </w:t>
      </w:r>
    </w:p>
  </w:footnote>
  <w:footnote w:id="11">
    <w:p w14:paraId="39270275" w14:textId="77777777" w:rsidR="0016455E" w:rsidRDefault="0016455E" w:rsidP="0016455E">
      <w:pPr>
        <w:pStyle w:val="FootnoteText"/>
      </w:pPr>
      <w:r>
        <w:rPr>
          <w:rStyle w:val="FootnoteReference"/>
        </w:rPr>
        <w:footnoteRef/>
      </w:r>
      <w:r>
        <w:t xml:space="preserve"> UNEP’s Global Mercury Assessment of 2013.</w:t>
      </w:r>
    </w:p>
  </w:footnote>
  <w:footnote w:id="12">
    <w:p w14:paraId="28961EBE" w14:textId="77777777" w:rsidR="0016455E" w:rsidRPr="00A235F5" w:rsidRDefault="0016455E" w:rsidP="0016455E">
      <w:pPr>
        <w:pStyle w:val="FootnoteText"/>
        <w:rPr>
          <w:lang w:val="pt-BR"/>
        </w:rPr>
      </w:pPr>
      <w:r>
        <w:rPr>
          <w:rStyle w:val="FootnoteReference"/>
        </w:rPr>
        <w:footnoteRef/>
      </w:r>
      <w:r w:rsidRPr="00A235F5">
        <w:rPr>
          <w:lang w:val="pt-BR"/>
        </w:rPr>
        <w:t xml:space="preserve"> </w:t>
      </w:r>
      <w:r w:rsidRPr="00A235F5">
        <w:rPr>
          <w:lang w:val="pt-BR"/>
        </w:rPr>
        <w:t>UNU Global E-waste Monitor 2017.</w:t>
      </w:r>
    </w:p>
  </w:footnote>
  <w:footnote w:id="13">
    <w:p w14:paraId="22262981" w14:textId="77777777" w:rsidR="0016455E" w:rsidRPr="00514231" w:rsidRDefault="0016455E" w:rsidP="0016455E">
      <w:pPr>
        <w:pStyle w:val="FootnoteText"/>
        <w:rPr>
          <w:szCs w:val="18"/>
        </w:rPr>
      </w:pPr>
      <w:r w:rsidRPr="00514231">
        <w:rPr>
          <w:rStyle w:val="FootnoteReference"/>
          <w:szCs w:val="18"/>
        </w:rPr>
        <w:footnoteRef/>
      </w:r>
      <w:r w:rsidRPr="00514231">
        <w:rPr>
          <w:szCs w:val="18"/>
        </w:rPr>
        <w:t xml:space="preserve"> </w:t>
      </w:r>
      <w:r w:rsidRPr="001E0BE2">
        <w:rPr>
          <w:szCs w:val="18"/>
          <w:lang w:val="en"/>
        </w:rPr>
        <w:t>Reducing Environmental Health Impact of Harmful Chemicals in Africa Region</w:t>
      </w:r>
      <w:r>
        <w:rPr>
          <w:szCs w:val="18"/>
          <w:lang w:val="en"/>
        </w:rPr>
        <w:t xml:space="preserve"> </w:t>
      </w:r>
      <w:r w:rsidRPr="001E0BE2">
        <w:rPr>
          <w:szCs w:val="18"/>
          <w:lang w:val="en"/>
        </w:rPr>
        <w:t>(https://www.thegef.org/gef/project_detail?projID=5583)</w:t>
      </w:r>
      <w:r>
        <w:rPr>
          <w:szCs w:val="18"/>
          <w:lang w:val="en"/>
        </w:rPr>
        <w:t>.</w:t>
      </w:r>
    </w:p>
  </w:footnote>
  <w:footnote w:id="14">
    <w:p w14:paraId="2709B8D7" w14:textId="77777777" w:rsidR="003E3306" w:rsidRDefault="003E3306" w:rsidP="003E3306">
      <w:pPr>
        <w:pStyle w:val="FootnoteText"/>
      </w:pPr>
      <w:r>
        <w:rPr>
          <w:rStyle w:val="FootnoteReference"/>
        </w:rPr>
        <w:footnoteRef/>
      </w:r>
      <w:r>
        <w:t xml:space="preserve"> UNEP’s Global Mercury Assessment of 2013.</w:t>
      </w:r>
    </w:p>
  </w:footnote>
  <w:footnote w:id="15">
    <w:p w14:paraId="3B04DF88" w14:textId="77777777" w:rsidR="003E3306" w:rsidRPr="00A235F5" w:rsidRDefault="003E3306" w:rsidP="003E3306">
      <w:pPr>
        <w:pStyle w:val="FootnoteText"/>
        <w:rPr>
          <w:lang w:val="pt-BR"/>
        </w:rPr>
      </w:pPr>
      <w:r>
        <w:rPr>
          <w:rStyle w:val="FootnoteReference"/>
        </w:rPr>
        <w:footnoteRef/>
      </w:r>
      <w:r w:rsidRPr="00A235F5">
        <w:rPr>
          <w:lang w:val="pt-BR"/>
        </w:rPr>
        <w:t xml:space="preserve"> </w:t>
      </w:r>
      <w:r w:rsidRPr="00A235F5">
        <w:rPr>
          <w:lang w:val="pt-BR"/>
        </w:rPr>
        <w:t>UNU Global E-waste Monitor 2017.</w:t>
      </w:r>
    </w:p>
  </w:footnote>
  <w:footnote w:id="16">
    <w:p w14:paraId="45002C90" w14:textId="77777777" w:rsidR="003E3306" w:rsidRPr="00514231" w:rsidRDefault="003E3306" w:rsidP="003E3306">
      <w:pPr>
        <w:pStyle w:val="FootnoteText"/>
        <w:rPr>
          <w:szCs w:val="18"/>
        </w:rPr>
      </w:pPr>
      <w:r w:rsidRPr="00514231">
        <w:rPr>
          <w:rStyle w:val="FootnoteReference"/>
          <w:szCs w:val="18"/>
        </w:rPr>
        <w:footnoteRef/>
      </w:r>
      <w:r w:rsidRPr="00514231">
        <w:rPr>
          <w:szCs w:val="18"/>
        </w:rPr>
        <w:t xml:space="preserve"> </w:t>
      </w:r>
      <w:r w:rsidRPr="001E0BE2">
        <w:rPr>
          <w:szCs w:val="18"/>
          <w:lang w:val="en"/>
        </w:rPr>
        <w:t>Reducing Environmental Health Impact of Harmful Chemicals in Africa Region</w:t>
      </w:r>
      <w:r>
        <w:rPr>
          <w:szCs w:val="18"/>
          <w:lang w:val="en"/>
        </w:rPr>
        <w:t xml:space="preserve"> </w:t>
      </w:r>
      <w:r w:rsidRPr="001E0BE2">
        <w:rPr>
          <w:szCs w:val="18"/>
          <w:lang w:val="en"/>
        </w:rPr>
        <w:t>(https://www.thegef.org/gef/project_detail?projID=5583)</w:t>
      </w:r>
      <w:r>
        <w:rPr>
          <w:szCs w:val="18"/>
          <w:lang w:val="en"/>
        </w:rPr>
        <w:t>.</w:t>
      </w:r>
    </w:p>
  </w:footnote>
  <w:footnote w:id="17">
    <w:p w14:paraId="1120E609" w14:textId="05A7E265" w:rsidR="00973884" w:rsidRPr="001E33EA" w:rsidRDefault="00973884" w:rsidP="00973884">
      <w:pPr>
        <w:pStyle w:val="FootnoteText"/>
        <w:jc w:val="both"/>
        <w:rPr>
          <w:szCs w:val="18"/>
        </w:rPr>
      </w:pPr>
      <w:r w:rsidRPr="00B447C8">
        <w:rPr>
          <w:rStyle w:val="FootnoteReference"/>
          <w:szCs w:val="18"/>
        </w:rPr>
        <w:footnoteRef/>
      </w:r>
      <w:r w:rsidRPr="00B447C8">
        <w:rPr>
          <w:szCs w:val="18"/>
        </w:rPr>
        <w:t xml:space="preserve"> The platform and the organization of regional activities will be part of the GEF </w:t>
      </w:r>
      <w:r w:rsidR="00FF4AED">
        <w:rPr>
          <w:szCs w:val="18"/>
        </w:rPr>
        <w:t xml:space="preserve">child </w:t>
      </w:r>
      <w:r w:rsidRPr="00B447C8">
        <w:rPr>
          <w:szCs w:val="18"/>
        </w:rPr>
        <w:t xml:space="preserve">Project on Knowledge Exchange and Institutional Partnerships to Reduce Environmental Health Risks from exposure to harmful chemicals and </w:t>
      </w:r>
      <w:r w:rsidRPr="00A81342">
        <w:rPr>
          <w:szCs w:val="18"/>
        </w:rPr>
        <w:t>waste (US$4.31 million, BETF</w:t>
      </w:r>
      <w:r w:rsidR="00FF4AED">
        <w:rPr>
          <w:szCs w:val="18"/>
        </w:rPr>
        <w:t>, P</w:t>
      </w:r>
      <w:r w:rsidR="00BA69D6">
        <w:rPr>
          <w:szCs w:val="18"/>
        </w:rPr>
        <w:t>166233</w:t>
      </w:r>
      <w:r w:rsidRPr="00A81342">
        <w:rPr>
          <w:szCs w:val="18"/>
        </w:rPr>
        <w:t>). However, the participation of the five countries in these regional activities will be f</w:t>
      </w:r>
      <w:r w:rsidRPr="005E2FF0">
        <w:rPr>
          <w:szCs w:val="18"/>
        </w:rPr>
        <w:t>inanced by</w:t>
      </w:r>
      <w:r w:rsidRPr="001E33EA">
        <w:rPr>
          <w:szCs w:val="18"/>
        </w:rPr>
        <w:t xml:space="preserve"> the proposed project. </w:t>
      </w:r>
    </w:p>
  </w:footnote>
  <w:footnote w:id="18">
    <w:p w14:paraId="36259B0C" w14:textId="77777777" w:rsidR="00973884" w:rsidRPr="00B447C8" w:rsidRDefault="00973884" w:rsidP="00973884">
      <w:pPr>
        <w:pStyle w:val="FootnoteText"/>
        <w:rPr>
          <w:szCs w:val="18"/>
        </w:rPr>
      </w:pPr>
      <w:r w:rsidRPr="00B447C8">
        <w:rPr>
          <w:rStyle w:val="FootnoteReference"/>
          <w:szCs w:val="18"/>
        </w:rPr>
        <w:footnoteRef/>
      </w:r>
      <w:r w:rsidRPr="00B447C8">
        <w:rPr>
          <w:szCs w:val="18"/>
        </w:rPr>
        <w:t xml:space="preserve"> </w:t>
      </w:r>
      <w:r w:rsidRPr="00616B1A">
        <w:rPr>
          <w:rFonts w:cstheme="minorHAnsi"/>
          <w:szCs w:val="18"/>
        </w:rPr>
        <w:t>The World Bank will use the following criteria to select the regional institution: (i) impact</w:t>
      </w:r>
      <w:r>
        <w:rPr>
          <w:rFonts w:cstheme="minorHAnsi"/>
          <w:szCs w:val="18"/>
        </w:rPr>
        <w:t xml:space="preserve"> on</w:t>
      </w:r>
      <w:r w:rsidRPr="00616B1A">
        <w:rPr>
          <w:rFonts w:cstheme="minorHAnsi"/>
          <w:szCs w:val="18"/>
        </w:rPr>
        <w:t xml:space="preserve"> national projects; (ii) ability to leverage co-financing, including private sector funding; and (iii) capacity to introduce state of the art knowledge, expertise, and technologies to maximize benefit of solutions deployed to the project sites.</w:t>
      </w:r>
    </w:p>
  </w:footnote>
  <w:footnote w:id="19">
    <w:p w14:paraId="1B015EA8" w14:textId="77777777" w:rsidR="002B423F" w:rsidRPr="00616B1A" w:rsidRDefault="002B423F" w:rsidP="002B423F">
      <w:pPr>
        <w:pStyle w:val="FootnoteText"/>
        <w:jc w:val="both"/>
        <w:rPr>
          <w:sz w:val="16"/>
          <w:szCs w:val="16"/>
        </w:rPr>
      </w:pPr>
      <w:r w:rsidRPr="00616B1A">
        <w:rPr>
          <w:rStyle w:val="FootnoteReference"/>
          <w:sz w:val="16"/>
          <w:szCs w:val="16"/>
        </w:rPr>
        <w:footnoteRef/>
      </w:r>
      <w:r w:rsidRPr="00616B1A">
        <w:rPr>
          <w:sz w:val="16"/>
          <w:szCs w:val="16"/>
        </w:rPr>
        <w:t xml:space="preserve"> It </w:t>
      </w:r>
      <w:r w:rsidRPr="00616B1A">
        <w:rPr>
          <w:rFonts w:cstheme="minorHAnsi"/>
          <w:sz w:val="16"/>
          <w:szCs w:val="16"/>
        </w:rPr>
        <w:t>is a global treaty to protect human health and the environment from persistent organic pollutants (POPs).</w:t>
      </w:r>
      <w:r>
        <w:rPr>
          <w:rFonts w:cstheme="minorHAnsi"/>
          <w:sz w:val="16"/>
          <w:szCs w:val="16"/>
        </w:rPr>
        <w:t xml:space="preserve"> The project addresses particularly the Articles 5 and 6.</w:t>
      </w:r>
    </w:p>
  </w:footnote>
  <w:footnote w:id="20">
    <w:p w14:paraId="1E9924B5" w14:textId="77777777" w:rsidR="002B423F" w:rsidRPr="00616B1A" w:rsidRDefault="002B423F" w:rsidP="002B423F">
      <w:pPr>
        <w:pStyle w:val="FootnoteText"/>
        <w:jc w:val="both"/>
        <w:rPr>
          <w:sz w:val="16"/>
          <w:szCs w:val="16"/>
        </w:rPr>
      </w:pPr>
      <w:r w:rsidRPr="00616B1A">
        <w:rPr>
          <w:rStyle w:val="FootnoteReference"/>
          <w:sz w:val="16"/>
          <w:szCs w:val="16"/>
        </w:rPr>
        <w:footnoteRef/>
      </w:r>
      <w:r w:rsidRPr="00616B1A">
        <w:rPr>
          <w:sz w:val="16"/>
          <w:szCs w:val="16"/>
        </w:rPr>
        <w:t xml:space="preserve"> It </w:t>
      </w:r>
      <w:r w:rsidRPr="00616B1A">
        <w:rPr>
          <w:rFonts w:cstheme="minorHAnsi"/>
          <w:sz w:val="16"/>
          <w:szCs w:val="16"/>
        </w:rPr>
        <w:t>provides a framework through which a toxic compound of global concern can be used and managed to drive national policy reforms to protect human health and the environment.</w:t>
      </w:r>
      <w:r w:rsidRPr="001E33EA">
        <w:rPr>
          <w:rFonts w:cstheme="minorHAnsi"/>
          <w:sz w:val="16"/>
          <w:szCs w:val="16"/>
        </w:rPr>
        <w:t xml:space="preserve"> The project addresses the provisions of </w:t>
      </w:r>
      <w:r w:rsidRPr="00616B1A">
        <w:rPr>
          <w:rFonts w:cstheme="minorHAnsi"/>
          <w:sz w:val="16"/>
          <w:szCs w:val="16"/>
        </w:rPr>
        <w:t>Article 7, which requires that “</w:t>
      </w:r>
      <w:r w:rsidRPr="00616B1A">
        <w:rPr>
          <w:rFonts w:cstheme="minorHAnsi"/>
          <w:i/>
          <w:sz w:val="16"/>
          <w:szCs w:val="16"/>
        </w:rPr>
        <w:t>e</w:t>
      </w:r>
      <w:r w:rsidRPr="00616B1A">
        <w:rPr>
          <w:rFonts w:cstheme="minorHAnsi"/>
          <w:bCs/>
          <w:i/>
          <w:sz w:val="16"/>
          <w:szCs w:val="16"/>
        </w:rPr>
        <w:t>ach Party</w:t>
      </w:r>
      <w:r w:rsidRPr="00616B1A">
        <w:rPr>
          <w:rFonts w:cstheme="minorHAnsi"/>
          <w:i/>
          <w:sz w:val="16"/>
          <w:szCs w:val="16"/>
        </w:rPr>
        <w:t xml:space="preserve"> that has artisanal and small-scale gold mining and processing subject to this Article within its territory will </w:t>
      </w:r>
      <w:r w:rsidRPr="00616B1A">
        <w:rPr>
          <w:rFonts w:cstheme="minorHAnsi"/>
          <w:bCs/>
          <w:i/>
          <w:sz w:val="16"/>
          <w:szCs w:val="16"/>
        </w:rPr>
        <w:t xml:space="preserve">take steps to reduce, and where feasible eliminate, the use of mercury and mercury compounds in, and the emissions and releases to the environment of mercury </w:t>
      </w:r>
      <w:r w:rsidRPr="00616B1A">
        <w:rPr>
          <w:rFonts w:cstheme="minorHAnsi"/>
          <w:i/>
          <w:sz w:val="16"/>
          <w:szCs w:val="16"/>
        </w:rPr>
        <w:t>from, such mining and processing</w:t>
      </w:r>
      <w:r w:rsidRPr="00616B1A">
        <w:rPr>
          <w:rFonts w:cstheme="minorHAnsi"/>
          <w:sz w:val="16"/>
          <w:szCs w:val="16"/>
        </w:rPr>
        <w:t xml:space="preserve">”. </w:t>
      </w:r>
      <w:r w:rsidRPr="001E33EA">
        <w:rPr>
          <w:rFonts w:cstheme="minorHAnsi"/>
          <w:sz w:val="16"/>
          <w:szCs w:val="16"/>
        </w:rPr>
        <w:t xml:space="preserve"> </w:t>
      </w:r>
    </w:p>
  </w:footnote>
  <w:footnote w:id="21">
    <w:p w14:paraId="5AE8506E" w14:textId="77777777" w:rsidR="00DF05EB" w:rsidRPr="00616B1A" w:rsidRDefault="00DF05EB" w:rsidP="00DF05EB">
      <w:pPr>
        <w:pStyle w:val="FootnoteText"/>
        <w:jc w:val="both"/>
        <w:rPr>
          <w:szCs w:val="18"/>
        </w:rPr>
      </w:pPr>
      <w:r w:rsidRPr="00616B1A">
        <w:rPr>
          <w:rStyle w:val="FootnoteReference"/>
          <w:szCs w:val="18"/>
        </w:rPr>
        <w:footnoteRef/>
      </w:r>
      <w:r w:rsidRPr="00616B1A">
        <w:rPr>
          <w:szCs w:val="18"/>
        </w:rPr>
        <w:t xml:space="preserve"> This will involve </w:t>
      </w:r>
      <w:r w:rsidRPr="00616B1A">
        <w:rPr>
          <w:rFonts w:cstheme="minorHAnsi"/>
          <w:szCs w:val="18"/>
        </w:rPr>
        <w:t>gathering health data, training of health care workers, and awareness raising through health facilities.</w:t>
      </w:r>
    </w:p>
  </w:footnote>
  <w:footnote w:id="22">
    <w:p w14:paraId="1D6275E9" w14:textId="77777777" w:rsidR="00DF05EB" w:rsidRPr="00B447C8" w:rsidRDefault="00DF05EB" w:rsidP="00DF05EB">
      <w:pPr>
        <w:pStyle w:val="FootnoteText"/>
        <w:jc w:val="both"/>
        <w:rPr>
          <w:szCs w:val="18"/>
        </w:rPr>
      </w:pPr>
      <w:r w:rsidRPr="00B447C8">
        <w:rPr>
          <w:rStyle w:val="FootnoteReference"/>
          <w:szCs w:val="18"/>
        </w:rPr>
        <w:footnoteRef/>
      </w:r>
      <w:r w:rsidRPr="00B447C8">
        <w:rPr>
          <w:szCs w:val="18"/>
        </w:rPr>
        <w:t xml:space="preserve"> These events will tackle up-to-date knowledge and technologies </w:t>
      </w:r>
      <w:r w:rsidRPr="00A81342">
        <w:rPr>
          <w:szCs w:val="18"/>
        </w:rPr>
        <w:t xml:space="preserve">addressing the provisions of Article 7 of Minamata Convention (e.g. </w:t>
      </w:r>
      <w:r w:rsidRPr="005E2FF0">
        <w:rPr>
          <w:szCs w:val="18"/>
        </w:rPr>
        <w:t xml:space="preserve">reducing </w:t>
      </w:r>
      <w:r w:rsidRPr="00616B1A">
        <w:rPr>
          <w:rFonts w:cstheme="minorHAnsi"/>
          <w:bCs/>
          <w:szCs w:val="18"/>
        </w:rPr>
        <w:t>whole ore amalgamation</w:t>
      </w:r>
      <w:r w:rsidRPr="00616B1A">
        <w:rPr>
          <w:rFonts w:cstheme="minorHAnsi"/>
          <w:szCs w:val="18"/>
        </w:rPr>
        <w:t xml:space="preserve">; </w:t>
      </w:r>
      <w:r w:rsidRPr="00616B1A">
        <w:rPr>
          <w:rFonts w:cstheme="minorHAnsi"/>
          <w:bCs/>
          <w:szCs w:val="18"/>
        </w:rPr>
        <w:t>open burning of amalgam or processed amalgam</w:t>
      </w:r>
      <w:r w:rsidRPr="00616B1A">
        <w:rPr>
          <w:rFonts w:cstheme="minorHAnsi"/>
          <w:szCs w:val="18"/>
        </w:rPr>
        <w:t xml:space="preserve">; </w:t>
      </w:r>
      <w:r w:rsidRPr="00616B1A">
        <w:rPr>
          <w:rFonts w:cstheme="minorHAnsi"/>
          <w:bCs/>
          <w:szCs w:val="18"/>
        </w:rPr>
        <w:t>burning of amalgam in residential areas</w:t>
      </w:r>
      <w:r w:rsidRPr="00616B1A">
        <w:rPr>
          <w:rFonts w:cstheme="minorHAnsi"/>
          <w:szCs w:val="18"/>
        </w:rPr>
        <w:t xml:space="preserve">; and </w:t>
      </w:r>
      <w:r w:rsidRPr="00616B1A">
        <w:rPr>
          <w:rFonts w:cstheme="minorHAnsi"/>
          <w:bCs/>
          <w:szCs w:val="18"/>
        </w:rPr>
        <w:t>cyanide leaching</w:t>
      </w:r>
      <w:r w:rsidRPr="00616B1A">
        <w:rPr>
          <w:rFonts w:cstheme="minorHAnsi"/>
          <w:szCs w:val="18"/>
        </w:rPr>
        <w:t xml:space="preserve"> </w:t>
      </w:r>
      <w:r w:rsidRPr="00616B1A">
        <w:rPr>
          <w:rFonts w:cstheme="minorHAnsi"/>
          <w:bCs/>
          <w:szCs w:val="18"/>
        </w:rPr>
        <w:t>in sediment, ore or tailings</w:t>
      </w:r>
      <w:r w:rsidRPr="00616B1A">
        <w:rPr>
          <w:rFonts w:cstheme="minorHAnsi"/>
          <w:szCs w:val="18"/>
        </w:rPr>
        <w:t xml:space="preserve"> </w:t>
      </w:r>
      <w:r w:rsidRPr="00616B1A">
        <w:rPr>
          <w:rFonts w:cstheme="minorHAnsi"/>
          <w:bCs/>
          <w:szCs w:val="18"/>
        </w:rPr>
        <w:t>to which mercury has been added)</w:t>
      </w:r>
      <w:r w:rsidRPr="00616B1A">
        <w:rPr>
          <w:rFonts w:cstheme="minorHAnsi"/>
          <w:szCs w:val="18"/>
        </w:rPr>
        <w:t xml:space="preserve">; and </w:t>
      </w:r>
      <w:r>
        <w:rPr>
          <w:rFonts w:cstheme="minorHAnsi"/>
          <w:szCs w:val="18"/>
        </w:rPr>
        <w:t xml:space="preserve">the provisions of Articles 5 and 6 of </w:t>
      </w:r>
      <w:r w:rsidRPr="00616B1A">
        <w:rPr>
          <w:rFonts w:cstheme="minorHAnsi"/>
          <w:szCs w:val="18"/>
        </w:rPr>
        <w:t>Stockholm Convention</w:t>
      </w:r>
      <w:r>
        <w:rPr>
          <w:rFonts w:cstheme="minorHAnsi"/>
          <w:szCs w:val="18"/>
        </w:rPr>
        <w:t>.</w:t>
      </w:r>
    </w:p>
  </w:footnote>
  <w:footnote w:id="23">
    <w:p w14:paraId="21D0E51B" w14:textId="77777777" w:rsidR="008A20C9" w:rsidRPr="005319C7" w:rsidRDefault="008A20C9" w:rsidP="008A20C9">
      <w:pPr>
        <w:pStyle w:val="FootnoteText"/>
        <w:jc w:val="both"/>
        <w:rPr>
          <w:rFonts w:cstheme="minorHAnsi"/>
          <w:sz w:val="16"/>
          <w:szCs w:val="16"/>
        </w:rPr>
      </w:pPr>
      <w:r w:rsidRPr="005319C7">
        <w:rPr>
          <w:rStyle w:val="FootnoteReference"/>
          <w:rFonts w:cstheme="minorHAnsi"/>
          <w:sz w:val="16"/>
          <w:szCs w:val="16"/>
        </w:rPr>
        <w:footnoteRef/>
      </w:r>
      <w:r w:rsidRPr="005319C7">
        <w:rPr>
          <w:rFonts w:cstheme="minorHAnsi"/>
          <w:sz w:val="16"/>
          <w:szCs w:val="16"/>
        </w:rPr>
        <w:t xml:space="preserve">IGF, Intergovernmental Forum on Mining, Minerals, Metals, and Sustainable Development (2017). Global Trends in </w:t>
      </w:r>
      <w:proofErr w:type="spellStart"/>
      <w:r w:rsidRPr="005319C7">
        <w:rPr>
          <w:rFonts w:cstheme="minorHAnsi"/>
          <w:sz w:val="16"/>
          <w:szCs w:val="16"/>
        </w:rPr>
        <w:t>Artisinal</w:t>
      </w:r>
      <w:proofErr w:type="spellEnd"/>
      <w:r w:rsidRPr="005319C7">
        <w:rPr>
          <w:rFonts w:cstheme="minorHAnsi"/>
          <w:sz w:val="16"/>
          <w:szCs w:val="16"/>
        </w:rPr>
        <w:t xml:space="preserve"> and Small-Scale Mining (ASM): A review of key number and issues. Winnipeg: IISD. (</w:t>
      </w:r>
      <w:hyperlink r:id="rId1" w:history="1">
        <w:r w:rsidRPr="005319C7">
          <w:rPr>
            <w:rStyle w:val="Hyperlink"/>
            <w:rFonts w:cstheme="minorHAnsi"/>
            <w:sz w:val="16"/>
            <w:szCs w:val="16"/>
          </w:rPr>
          <w:t>https://www.iisd.org/sites/default/files/publications/igf-asm-global-trends.pdf</w:t>
        </w:r>
      </w:hyperlink>
      <w:r w:rsidRPr="005319C7">
        <w:rPr>
          <w:rFonts w:cstheme="minorHAnsi"/>
          <w:sz w:val="16"/>
          <w:szCs w:val="16"/>
        </w:rPr>
        <w:t>)</w:t>
      </w:r>
    </w:p>
  </w:footnote>
  <w:footnote w:id="24">
    <w:p w14:paraId="65F1FB26" w14:textId="77777777" w:rsidR="008A20C9" w:rsidRPr="005319C7" w:rsidRDefault="008A20C9" w:rsidP="008A20C9">
      <w:pPr>
        <w:pStyle w:val="FootnoteText"/>
        <w:jc w:val="both"/>
        <w:rPr>
          <w:rFonts w:cstheme="minorHAnsi"/>
          <w:sz w:val="16"/>
          <w:szCs w:val="16"/>
        </w:rPr>
      </w:pPr>
      <w:r w:rsidRPr="005319C7">
        <w:rPr>
          <w:rStyle w:val="FootnoteReference"/>
          <w:rFonts w:cstheme="minorHAnsi"/>
          <w:sz w:val="16"/>
          <w:szCs w:val="16"/>
        </w:rPr>
        <w:footnoteRef/>
      </w:r>
      <w:r w:rsidRPr="005319C7">
        <w:rPr>
          <w:rFonts w:cstheme="minorHAnsi"/>
          <w:sz w:val="16"/>
          <w:szCs w:val="16"/>
        </w:rPr>
        <w:t>As processing activities are often conducted in the home, women and their families can be at great risk from mercury poisoning and silicosis.</w:t>
      </w:r>
    </w:p>
  </w:footnote>
  <w:footnote w:id="25">
    <w:p w14:paraId="52D4361F" w14:textId="5351F3CB" w:rsidR="00D70D43" w:rsidRDefault="00D70D43" w:rsidP="00D70D43">
      <w:pPr>
        <w:pStyle w:val="FootnoteText"/>
      </w:pPr>
      <w:r>
        <w:rPr>
          <w:rStyle w:val="FootnoteReference"/>
        </w:rPr>
        <w:footnoteRef/>
      </w:r>
      <w:r>
        <w:t xml:space="preserve"> Refer to Project document (P166233)</w:t>
      </w:r>
      <w:r w:rsidR="00B53EC6">
        <w:t xml:space="preserve">, which will be WB- </w:t>
      </w:r>
      <w:r w:rsidR="00B53EC6">
        <w:t>executed</w:t>
      </w:r>
      <w:r w:rsidR="008F34B0">
        <w:t>,</w:t>
      </w:r>
      <w:bookmarkStart w:id="16" w:name="_GoBack"/>
      <w:bookmarkEnd w:id="16"/>
      <w:r>
        <w:t xml:space="preserve"> for detailed project description. </w:t>
      </w:r>
    </w:p>
  </w:footnote>
  <w:footnote w:id="26">
    <w:p w14:paraId="322D122A" w14:textId="77777777" w:rsidR="00D70D43" w:rsidRDefault="00D70D43" w:rsidP="00D70D43">
      <w:pPr>
        <w:pStyle w:val="FootnoteText"/>
      </w:pPr>
    </w:p>
  </w:footnote>
  <w:footnote w:id="27">
    <w:p w14:paraId="061E9301" w14:textId="77777777" w:rsidR="00D70D43" w:rsidRDefault="00D70D43" w:rsidP="00D70D43">
      <w:pPr>
        <w:pStyle w:val="FootnoteText"/>
      </w:pPr>
      <w:r>
        <w:rPr>
          <w:rStyle w:val="FootnoteReference"/>
        </w:rPr>
        <w:footnoteRef/>
      </w:r>
      <w:r>
        <w:t xml:space="preserve"> </w:t>
      </w:r>
      <w:r>
        <w:rPr>
          <w:rFonts w:eastAsia="Calibri"/>
          <w:color w:val="auto"/>
          <w:sz w:val="19"/>
          <w:szCs w:val="19"/>
        </w:rPr>
        <w:t xml:space="preserve">Lassen C, Warming M, </w:t>
      </w:r>
      <w:proofErr w:type="spellStart"/>
      <w:r>
        <w:rPr>
          <w:rFonts w:eastAsia="Calibri"/>
          <w:color w:val="auto"/>
          <w:sz w:val="19"/>
          <w:szCs w:val="19"/>
        </w:rPr>
        <w:t>Maag</w:t>
      </w:r>
      <w:proofErr w:type="spellEnd"/>
      <w:r>
        <w:rPr>
          <w:rFonts w:eastAsia="Calibri"/>
          <w:color w:val="auto"/>
          <w:sz w:val="19"/>
          <w:szCs w:val="19"/>
        </w:rPr>
        <w:t xml:space="preserve">, J, </w:t>
      </w:r>
      <w:proofErr w:type="spellStart"/>
      <w:r>
        <w:rPr>
          <w:rFonts w:eastAsia="Calibri"/>
          <w:sz w:val="19"/>
          <w:szCs w:val="19"/>
        </w:rPr>
        <w:t>J</w:t>
      </w:r>
      <w:r>
        <w:rPr>
          <w:rFonts w:eastAsia="Calibri"/>
          <w:color w:val="545454"/>
          <w:sz w:val="19"/>
          <w:szCs w:val="19"/>
        </w:rPr>
        <w:t>ø</w:t>
      </w:r>
      <w:r>
        <w:rPr>
          <w:rFonts w:eastAsia="Calibri"/>
          <w:sz w:val="19"/>
          <w:szCs w:val="19"/>
        </w:rPr>
        <w:t>nsson</w:t>
      </w:r>
      <w:proofErr w:type="spellEnd"/>
      <w:r>
        <w:rPr>
          <w:rFonts w:eastAsia="Calibri"/>
          <w:sz w:val="19"/>
          <w:szCs w:val="19"/>
        </w:rPr>
        <w:t xml:space="preserve"> JB</w:t>
      </w:r>
      <w:r>
        <w:rPr>
          <w:rFonts w:eastAsia="Calibri"/>
          <w:color w:val="auto"/>
          <w:sz w:val="19"/>
          <w:szCs w:val="19"/>
        </w:rPr>
        <w:t>. 2016. Mercury trade and use for artisanal and small-scale gold mining in Sub-Saharan Africa. COWI and World Bank.</w:t>
      </w:r>
    </w:p>
  </w:footnote>
  <w:footnote w:id="28">
    <w:p w14:paraId="5DFA3440" w14:textId="77777777" w:rsidR="00D70D43" w:rsidRDefault="00D70D43" w:rsidP="00D70D43">
      <w:pPr>
        <w:pStyle w:val="FootnoteText"/>
      </w:pPr>
      <w:r>
        <w:rPr>
          <w:rStyle w:val="FootnoteReference"/>
        </w:rPr>
        <w:footnoteRef/>
      </w:r>
      <w:r>
        <w:t xml:space="preserve"> Most small-scale miners are poor, who do not use any protective safety measures, therefore are exposed directly to contamination, such as from inhaling mercury.</w:t>
      </w:r>
    </w:p>
  </w:footnote>
  <w:footnote w:id="29">
    <w:p w14:paraId="62B35F81" w14:textId="77777777" w:rsidR="00D70D43" w:rsidRDefault="00D70D43" w:rsidP="00D70D43">
      <w:pPr>
        <w:pStyle w:val="FootnoteText"/>
      </w:pPr>
      <w:r>
        <w:rPr>
          <w:rStyle w:val="FootnoteReference"/>
        </w:rPr>
        <w:footnoteRef/>
      </w:r>
      <w:r>
        <w:t xml:space="preserve"> Ghana Statistical Service, 2010 Population and Housing Census.</w:t>
      </w:r>
    </w:p>
  </w:footnote>
  <w:footnote w:id="30">
    <w:p w14:paraId="1663B30E" w14:textId="77777777" w:rsidR="00D70D43" w:rsidRDefault="00D70D43" w:rsidP="00D70D43">
      <w:pPr>
        <w:pStyle w:val="FootnoteText"/>
      </w:pPr>
      <w:r>
        <w:rPr>
          <w:rStyle w:val="FootnoteReference"/>
        </w:rPr>
        <w:footnoteRef/>
      </w:r>
      <w:r>
        <w:t xml:space="preserve"> </w:t>
      </w:r>
      <w:r w:rsidRPr="009D560E">
        <w:t xml:space="preserve">Jack </w:t>
      </w:r>
      <w:proofErr w:type="spellStart"/>
      <w:r w:rsidRPr="009D560E">
        <w:t>Caravanos</w:t>
      </w:r>
      <w:proofErr w:type="spellEnd"/>
      <w:r w:rsidRPr="009D560E">
        <w:t xml:space="preserve">, Edith Clark, Richard Fuller, and Calah </w:t>
      </w:r>
      <w:proofErr w:type="spellStart"/>
      <w:r w:rsidRPr="009D560E">
        <w:t>Lambertson</w:t>
      </w:r>
      <w:proofErr w:type="spellEnd"/>
      <w:r>
        <w:t xml:space="preserve"> (2011)</w:t>
      </w:r>
      <w:r w:rsidRPr="009D560E">
        <w:t xml:space="preserve">. </w:t>
      </w:r>
      <w:r>
        <w:t>“</w:t>
      </w:r>
      <w:r w:rsidRPr="009D560E">
        <w:t>Assessing Worker and Environmental Chemical Exposure Risks at an e-Waste Recycling and Disposal Site in Accra, Ghana</w:t>
      </w:r>
      <w:r>
        <w:t>”</w:t>
      </w:r>
      <w:r w:rsidRPr="009D560E">
        <w:t xml:space="preserve">. </w:t>
      </w:r>
      <w:r w:rsidRPr="00E82792">
        <w:rPr>
          <w:i/>
        </w:rPr>
        <w:t>Journal of Health and Pollution</w:t>
      </w:r>
      <w:r w:rsidRPr="009D560E">
        <w:t>, Vol. 1, No. 1, pp. 16-25.</w:t>
      </w:r>
    </w:p>
  </w:footnote>
  <w:footnote w:id="31">
    <w:p w14:paraId="09D8D5BD" w14:textId="77777777" w:rsidR="00D70D43" w:rsidRDefault="00D70D43" w:rsidP="00D70D43">
      <w:pPr>
        <w:pStyle w:val="FootnoteText"/>
      </w:pPr>
      <w:r>
        <w:rPr>
          <w:rStyle w:val="FootnoteReference"/>
        </w:rPr>
        <w:footnoteRef/>
      </w:r>
      <w:r>
        <w:t xml:space="preserve"> Ghana e-waste Country Assessment: SBC e-waste Africa Project, March 2011.</w:t>
      </w:r>
    </w:p>
  </w:footnote>
  <w:footnote w:id="32">
    <w:p w14:paraId="5E8C693B" w14:textId="77777777" w:rsidR="00D70D43" w:rsidRPr="001E6C02" w:rsidRDefault="00D70D43" w:rsidP="00D70D43">
      <w:pPr>
        <w:pStyle w:val="FootnoteText"/>
        <w:rPr>
          <w:i/>
          <w:lang w:val="fr-FR"/>
        </w:rPr>
      </w:pPr>
      <w:r>
        <w:rPr>
          <w:rStyle w:val="FootnoteReference"/>
        </w:rPr>
        <w:footnoteRef/>
      </w:r>
      <w:r w:rsidRPr="001E6C02">
        <w:rPr>
          <w:lang w:val="fr-FR"/>
        </w:rPr>
        <w:t xml:space="preserve"> </w:t>
      </w:r>
      <w:proofErr w:type="spellStart"/>
      <w:r w:rsidRPr="001E6C02">
        <w:rPr>
          <w:lang w:val="fr-FR"/>
        </w:rPr>
        <w:t>Caravanos</w:t>
      </w:r>
      <w:proofErr w:type="spellEnd"/>
      <w:r w:rsidRPr="001E6C02">
        <w:rPr>
          <w:lang w:val="fr-FR"/>
        </w:rPr>
        <w:t xml:space="preserve"> </w:t>
      </w:r>
      <w:r w:rsidRPr="001E6C02">
        <w:rPr>
          <w:i/>
          <w:lang w:val="fr-FR"/>
        </w:rPr>
        <w:t xml:space="preserve">et al., op. </w:t>
      </w:r>
      <w:proofErr w:type="spellStart"/>
      <w:proofErr w:type="gramStart"/>
      <w:r w:rsidRPr="001E6C02">
        <w:rPr>
          <w:i/>
          <w:lang w:val="fr-FR"/>
        </w:rPr>
        <w:t>cit</w:t>
      </w:r>
      <w:proofErr w:type="spellEnd"/>
      <w:proofErr w:type="gramEnd"/>
      <w:r w:rsidRPr="001E6C02">
        <w:rPr>
          <w:i/>
          <w:lang w:val="fr-FR"/>
        </w:rPr>
        <w:t>.</w:t>
      </w:r>
    </w:p>
  </w:footnote>
  <w:footnote w:id="33">
    <w:p w14:paraId="4BADF7C4" w14:textId="77777777" w:rsidR="00D70D43" w:rsidRDefault="00D70D43" w:rsidP="00D70D43">
      <w:pPr>
        <w:pStyle w:val="FootnoteText"/>
      </w:pPr>
      <w:r>
        <w:rPr>
          <w:rStyle w:val="FootnoteReference"/>
        </w:rPr>
        <w:footnoteRef/>
      </w:r>
      <w:r>
        <w:t xml:space="preserve"> </w:t>
      </w:r>
      <w:r w:rsidRPr="00F8621B">
        <w:t>EPA, 2014</w:t>
      </w:r>
      <w:r>
        <w:t>.</w:t>
      </w:r>
    </w:p>
  </w:footnote>
  <w:footnote w:id="34">
    <w:p w14:paraId="6C06F34A" w14:textId="77777777" w:rsidR="00D70D43" w:rsidRDefault="00D70D43" w:rsidP="00D70D43">
      <w:pPr>
        <w:pStyle w:val="FootnoteText"/>
      </w:pPr>
      <w:r>
        <w:rPr>
          <w:rStyle w:val="FootnoteReference"/>
        </w:rPr>
        <w:footnoteRef/>
      </w:r>
      <w:r>
        <w:t xml:space="preserve"> The World Bank: Green ICT: Sustainable E-waste Management in Sub-Saharan Africa (2014).</w:t>
      </w:r>
    </w:p>
  </w:footnote>
  <w:footnote w:id="35">
    <w:p w14:paraId="61B05CF6" w14:textId="77777777" w:rsidR="00D70D43" w:rsidRDefault="00D70D43" w:rsidP="00D70D43">
      <w:pPr>
        <w:pStyle w:val="FootnoteText"/>
      </w:pPr>
      <w:r>
        <w:rPr>
          <w:rStyle w:val="FootnoteReference"/>
        </w:rPr>
        <w:footnoteRef/>
      </w:r>
      <w:r>
        <w:t xml:space="preserve">  Lindgren K. The global impact of e-waste: addressing the challenge / Karin Lundgren; International </w:t>
      </w:r>
      <w:proofErr w:type="spellStart"/>
      <w:r>
        <w:t>Labour</w:t>
      </w:r>
      <w:proofErr w:type="spellEnd"/>
      <w:r>
        <w:t xml:space="preserve"> Office, </w:t>
      </w:r>
      <w:proofErr w:type="spellStart"/>
      <w:r>
        <w:t>Programme</w:t>
      </w:r>
      <w:proofErr w:type="spellEnd"/>
      <w:r>
        <w:t xml:space="preserve"> on Safety and Health at Work and the Environment (SafeWork), Sectoral Activities Department (SECTOR). – Geneva: ILO, 2012.</w:t>
      </w:r>
    </w:p>
  </w:footnote>
  <w:footnote w:id="36">
    <w:p w14:paraId="45EB259B" w14:textId="77777777" w:rsidR="00D70D43" w:rsidRDefault="00D70D43" w:rsidP="00D70D43">
      <w:pPr>
        <w:pStyle w:val="FootnoteText"/>
      </w:pPr>
      <w:r>
        <w:rPr>
          <w:rStyle w:val="FootnoteReference"/>
        </w:rPr>
        <w:footnoteRef/>
      </w:r>
      <w:r>
        <w:t xml:space="preserve"> </w:t>
      </w:r>
      <w:r>
        <w:rPr>
          <w:szCs w:val="18"/>
        </w:rPr>
        <w:t>UNEP Environment for Development Perspective. Mercury Use in ASGM (draft). 2012.</w:t>
      </w:r>
    </w:p>
  </w:footnote>
  <w:footnote w:id="37">
    <w:p w14:paraId="0D457E57" w14:textId="7A3E1030" w:rsidR="00875D86" w:rsidRDefault="00875D86" w:rsidP="0060706B">
      <w:pPr>
        <w:pStyle w:val="FootnoteText"/>
        <w:jc w:val="both"/>
      </w:pPr>
      <w:r>
        <w:rPr>
          <w:rStyle w:val="FootnoteReference"/>
        </w:rPr>
        <w:footnoteRef/>
      </w:r>
      <w:r>
        <w:t xml:space="preserve"> The WB IDA project</w:t>
      </w:r>
      <w:r w:rsidR="0060706B">
        <w:t xml:space="preserve"> </w:t>
      </w:r>
      <w:r w:rsidRPr="0060706B">
        <w:t>Ghana: Artisanal and Small-Scale Mining Formalization Project (P168002)</w:t>
      </w:r>
      <w:r w:rsidR="0060706B">
        <w:t xml:space="preserve"> is US$60 M. However, for incremental reasoning purposes only US$50 M is considered actual </w:t>
      </w:r>
      <w:proofErr w:type="spellStart"/>
      <w:r w:rsidR="0060706B">
        <w:t>cofinancing</w:t>
      </w:r>
      <w:proofErr w:type="spellEnd"/>
      <w:r w:rsidR="0060706B">
        <w:t xml:space="preserve"> for Ghana and</w:t>
      </w:r>
      <w:r w:rsidR="004B42EE">
        <w:t>,</w:t>
      </w:r>
      <w:r w:rsidR="0060706B">
        <w:t xml:space="preserve"> the remaining US$10 M will support activities towards the Regional Knowledge and </w:t>
      </w:r>
      <w:r w:rsidR="004B42EE">
        <w:t>C</w:t>
      </w:r>
      <w:r w:rsidR="0060706B">
        <w:t>oordination Child project.</w:t>
      </w:r>
    </w:p>
  </w:footnote>
  <w:footnote w:id="38">
    <w:p w14:paraId="690E75C9" w14:textId="77777777" w:rsidR="00D70D43" w:rsidRPr="00E736E9" w:rsidRDefault="00D70D43" w:rsidP="00D70D43">
      <w:pPr>
        <w:pStyle w:val="FootnoteText"/>
        <w:rPr>
          <w:sz w:val="16"/>
          <w:szCs w:val="16"/>
          <w:lang w:val="pt-BR"/>
        </w:rPr>
      </w:pPr>
      <w:r w:rsidRPr="00E736E9">
        <w:rPr>
          <w:rStyle w:val="FootnoteReference"/>
          <w:sz w:val="16"/>
          <w:szCs w:val="16"/>
        </w:rPr>
        <w:footnoteRef/>
      </w:r>
      <w:r w:rsidRPr="00E736E9">
        <w:rPr>
          <w:sz w:val="16"/>
          <w:szCs w:val="16"/>
          <w:lang w:val="pt-BR"/>
        </w:rPr>
        <w:t xml:space="preserve"> </w:t>
      </w:r>
      <w:r w:rsidRPr="00E736E9">
        <w:rPr>
          <w:sz w:val="16"/>
          <w:szCs w:val="16"/>
          <w:lang w:val="pt-BR"/>
        </w:rPr>
        <w:t>UNU Global E-waste Monitor 2017.</w:t>
      </w:r>
    </w:p>
  </w:footnote>
  <w:footnote w:id="39">
    <w:p w14:paraId="6AC98EFC"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UPOPS are persistent organic pollutants that are formed and released unintentionally from anthropogenic sources and include the following chemicals: Polychlorinated dibenzo-p-dioxins and dibenzofurans (PCDD/PCDF), Hexachlorobenzene (HCB), and Polychlorinated biphenyls (PCB), and </w:t>
      </w:r>
      <w:proofErr w:type="spellStart"/>
      <w:r w:rsidRPr="00E736E9">
        <w:rPr>
          <w:rFonts w:cstheme="minorHAnsi"/>
          <w:sz w:val="16"/>
          <w:szCs w:val="16"/>
        </w:rPr>
        <w:t>Pentachlorobenzene</w:t>
      </w:r>
      <w:proofErr w:type="spellEnd"/>
      <w:r w:rsidRPr="00E736E9">
        <w:rPr>
          <w:rFonts w:cstheme="minorHAnsi"/>
          <w:sz w:val="16"/>
          <w:szCs w:val="16"/>
        </w:rPr>
        <w:t xml:space="preserve"> (</w:t>
      </w:r>
      <w:proofErr w:type="spellStart"/>
      <w:r w:rsidRPr="00E736E9">
        <w:rPr>
          <w:rFonts w:cstheme="minorHAnsi"/>
          <w:sz w:val="16"/>
          <w:szCs w:val="16"/>
        </w:rPr>
        <w:t>PeCB</w:t>
      </w:r>
      <w:proofErr w:type="spellEnd"/>
      <w:r w:rsidRPr="00E736E9">
        <w:rPr>
          <w:rFonts w:cstheme="minorHAnsi"/>
          <w:sz w:val="16"/>
          <w:szCs w:val="16"/>
        </w:rPr>
        <w:t xml:space="preserve">). See Stockholm Convention Annex Parts I-III for details.  </w:t>
      </w:r>
    </w:p>
  </w:footnote>
  <w:footnote w:id="40">
    <w:p w14:paraId="517F5A20" w14:textId="77777777" w:rsidR="00D70D43" w:rsidRPr="001D7D83" w:rsidRDefault="00D70D43" w:rsidP="00D70D43">
      <w:pPr>
        <w:pStyle w:val="FootnoteText"/>
        <w:rPr>
          <w:lang w:val="pt-BR"/>
        </w:rPr>
      </w:pPr>
      <w:r>
        <w:rPr>
          <w:rStyle w:val="FootnoteReference"/>
        </w:rPr>
        <w:footnoteRef/>
      </w:r>
      <w:r w:rsidRPr="001D7D83">
        <w:rPr>
          <w:lang w:val="pt-BR"/>
        </w:rPr>
        <w:t xml:space="preserve"> </w:t>
      </w:r>
      <w:r w:rsidRPr="001D7D83">
        <w:rPr>
          <w:lang w:val="pt-BR"/>
        </w:rPr>
        <w:t>UNU Global E-waste Monitor 2017.</w:t>
      </w:r>
    </w:p>
  </w:footnote>
  <w:footnote w:id="41">
    <w:p w14:paraId="75858D5C" w14:textId="77777777" w:rsidR="00D70D43" w:rsidRPr="00616B1A" w:rsidRDefault="00D70D43" w:rsidP="00D70D43">
      <w:pPr>
        <w:pStyle w:val="FootnoteText"/>
        <w:jc w:val="both"/>
        <w:rPr>
          <w:sz w:val="16"/>
          <w:szCs w:val="16"/>
        </w:rPr>
      </w:pPr>
      <w:r w:rsidRPr="00616B1A">
        <w:rPr>
          <w:rStyle w:val="FootnoteReference"/>
          <w:sz w:val="16"/>
          <w:szCs w:val="16"/>
        </w:rPr>
        <w:footnoteRef/>
      </w:r>
      <w:r w:rsidRPr="00616B1A">
        <w:rPr>
          <w:sz w:val="16"/>
          <w:szCs w:val="16"/>
        </w:rPr>
        <w:t xml:space="preserve"> In addition, the project is aligned with the </w:t>
      </w:r>
      <w:r w:rsidRPr="00616B1A">
        <w:rPr>
          <w:rFonts w:cstheme="minorHAnsi"/>
          <w:bCs/>
          <w:sz w:val="16"/>
          <w:szCs w:val="16"/>
          <w:u w:val="single"/>
        </w:rPr>
        <w:t>National Solid Waste Management Strategy</w:t>
      </w:r>
      <w:r w:rsidRPr="00616B1A">
        <w:rPr>
          <w:rFonts w:cstheme="minorHAnsi"/>
          <w:bCs/>
          <w:sz w:val="16"/>
          <w:szCs w:val="16"/>
        </w:rPr>
        <w:t xml:space="preserve"> (NSWMS) of 2004 which sets out an integrated approach to addressing the problem of improper solid waste management; and with the </w:t>
      </w:r>
      <w:r w:rsidRPr="00616B1A">
        <w:rPr>
          <w:rFonts w:cstheme="minorHAnsi"/>
          <w:bCs/>
          <w:sz w:val="16"/>
          <w:szCs w:val="16"/>
          <w:u w:val="single"/>
        </w:rPr>
        <w:t>National Implementation Plan</w:t>
      </w:r>
      <w:r w:rsidRPr="00616B1A">
        <w:rPr>
          <w:rFonts w:cstheme="minorHAnsi"/>
          <w:bCs/>
          <w:sz w:val="16"/>
          <w:szCs w:val="16"/>
        </w:rPr>
        <w:t xml:space="preserve"> (NIP) of 2017, which sets out the roadmap and methodology for implementing the Stockholm Convention in the country.</w:t>
      </w:r>
      <w:r w:rsidRPr="0034715C">
        <w:rPr>
          <w:rFonts w:cstheme="minorHAnsi"/>
          <w:bCs/>
          <w:sz w:val="16"/>
          <w:szCs w:val="16"/>
        </w:rPr>
        <w:t xml:space="preserve"> </w:t>
      </w:r>
      <w:r w:rsidRPr="00616B1A">
        <w:rPr>
          <w:rFonts w:cstheme="minorHAnsi"/>
          <w:bCs/>
          <w:sz w:val="16"/>
          <w:szCs w:val="16"/>
        </w:rPr>
        <w:t>The project will also build capacity in the management of e-waste as an emerging issue that warrant action countrywide.</w:t>
      </w:r>
    </w:p>
  </w:footnote>
  <w:footnote w:id="42">
    <w:p w14:paraId="1F8D094C" w14:textId="77777777" w:rsidR="00D70D43" w:rsidRDefault="00D70D43" w:rsidP="00D70D43">
      <w:pPr>
        <w:pStyle w:val="FootnoteText"/>
      </w:pPr>
      <w:r>
        <w:rPr>
          <w:rStyle w:val="FootnoteReference"/>
        </w:rPr>
        <w:footnoteRef/>
      </w:r>
      <w:r>
        <w:t xml:space="preserve"> </w:t>
      </w:r>
      <w:r>
        <w:rPr>
          <w:sz w:val="16"/>
          <w:szCs w:val="16"/>
          <w:lang w:val="en"/>
        </w:rPr>
        <w:t>Reducing Environmental Health Impact of Harmful Chemicals in Africa Region (https://www.thegef.org/gef/project_detail?projID=5583)</w:t>
      </w:r>
    </w:p>
  </w:footnote>
  <w:footnote w:id="43">
    <w:p w14:paraId="00AA5A4B" w14:textId="77777777" w:rsidR="00D70D43" w:rsidRDefault="00D70D43" w:rsidP="00D70D43">
      <w:pPr>
        <w:ind w:right="-360"/>
        <w:jc w:val="both"/>
      </w:pPr>
      <w:r>
        <w:rPr>
          <w:rStyle w:val="FootnoteReference"/>
        </w:rPr>
        <w:footnoteRef/>
      </w:r>
      <w:r>
        <w:t xml:space="preserve"> </w:t>
      </w:r>
      <w:r>
        <w:rPr>
          <w:sz w:val="16"/>
          <w:szCs w:val="16"/>
          <w:lang w:val="en"/>
        </w:rPr>
        <w:t>World Bank’s multi-donor Trust funds under the Pollution Management and Environmental Health (PMEH) program aims to address environmental health related risks at the country and regional levels and constraints faced by the national and international community to tackle these.</w:t>
      </w:r>
      <w:r>
        <w:rPr>
          <w:lang w:val="en"/>
        </w:rPr>
        <w:t xml:space="preserve"> </w:t>
      </w:r>
    </w:p>
  </w:footnote>
  <w:footnote w:id="44">
    <w:p w14:paraId="22568CC5"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AfDB: African Economic outlook 2018.</w:t>
      </w:r>
    </w:p>
  </w:footnote>
  <w:footnote w:id="45">
    <w:p w14:paraId="6D632AC5"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Ibid.</w:t>
      </w:r>
    </w:p>
  </w:footnote>
  <w:footnote w:id="46">
    <w:p w14:paraId="106CBEAB" w14:textId="77777777" w:rsidR="00D70D43" w:rsidRPr="00E736E9" w:rsidRDefault="00D70D43" w:rsidP="00D70D43">
      <w:pPr>
        <w:pStyle w:val="FootnoteText"/>
        <w:rPr>
          <w:sz w:val="16"/>
          <w:szCs w:val="16"/>
          <w:lang w:val="pt-BR"/>
        </w:rPr>
      </w:pPr>
      <w:r w:rsidRPr="00E736E9">
        <w:rPr>
          <w:rStyle w:val="FootnoteReference"/>
          <w:sz w:val="16"/>
          <w:szCs w:val="16"/>
        </w:rPr>
        <w:footnoteRef/>
      </w:r>
      <w:r w:rsidRPr="00E736E9">
        <w:rPr>
          <w:sz w:val="16"/>
          <w:szCs w:val="16"/>
          <w:lang w:val="pt-BR"/>
        </w:rPr>
        <w:t xml:space="preserve"> </w:t>
      </w:r>
      <w:r w:rsidRPr="00E736E9">
        <w:rPr>
          <w:sz w:val="16"/>
          <w:szCs w:val="16"/>
          <w:lang w:val="pt-BR"/>
        </w:rPr>
        <w:t>UNU Global E-waste Monitor 2017.</w:t>
      </w:r>
    </w:p>
  </w:footnote>
  <w:footnote w:id="47">
    <w:p w14:paraId="36DB61FD" w14:textId="77777777" w:rsidR="00D70D43" w:rsidRPr="00E736E9" w:rsidRDefault="00D70D43" w:rsidP="00D70D43">
      <w:pPr>
        <w:pStyle w:val="FootnoteText"/>
        <w:rPr>
          <w:sz w:val="16"/>
          <w:szCs w:val="16"/>
        </w:rPr>
      </w:pPr>
      <w:r w:rsidRPr="00E736E9">
        <w:rPr>
          <w:sz w:val="16"/>
          <w:szCs w:val="16"/>
        </w:rPr>
        <w:footnoteRef/>
      </w:r>
      <w:r w:rsidRPr="00E736E9">
        <w:rPr>
          <w:sz w:val="16"/>
          <w:szCs w:val="16"/>
        </w:rPr>
        <w:t xml:space="preserve"> The World Bank 2014: Green ICT: Sustainable E-waste Management in Sub-Saharan Africa.</w:t>
      </w:r>
      <w:r w:rsidRPr="00E736E9">
        <w:rPr>
          <w:bCs/>
          <w:spacing w:val="5"/>
          <w:kern w:val="28"/>
          <w:sz w:val="16"/>
          <w:szCs w:val="16"/>
        </w:rPr>
        <w:t xml:space="preserve"> </w:t>
      </w:r>
    </w:p>
  </w:footnote>
  <w:footnote w:id="48">
    <w:p w14:paraId="194B05C6" w14:textId="77777777" w:rsidR="00D70D43" w:rsidRPr="00E736E9" w:rsidRDefault="00D70D43" w:rsidP="00D70D43">
      <w:pPr>
        <w:pStyle w:val="FootnoteText"/>
        <w:rPr>
          <w:rFonts w:cstheme="minorHAnsi"/>
          <w:sz w:val="16"/>
          <w:szCs w:val="16"/>
        </w:rPr>
      </w:pPr>
      <w:r w:rsidRPr="00E736E9">
        <w:rPr>
          <w:rStyle w:val="FootnoteReference"/>
          <w:rFonts w:cstheme="minorHAnsi"/>
          <w:sz w:val="16"/>
          <w:szCs w:val="16"/>
        </w:rPr>
        <w:footnoteRef/>
      </w:r>
      <w:r w:rsidRPr="00E736E9">
        <w:rPr>
          <w:rFonts w:cstheme="minorHAnsi"/>
          <w:sz w:val="16"/>
          <w:szCs w:val="16"/>
        </w:rPr>
        <w:t xml:space="preserve"> UPOPS are persistent organic pollutants that are formed and released unintentionally from anthropogenic sources and include the following chemicals: Polychlorinated dibenzo-p-dioxins and dibenzofurans (PCDD/PCDF), Hexachlorobenzene (HCB), and Polychlorinated biphenyls (PCB), and </w:t>
      </w:r>
      <w:proofErr w:type="spellStart"/>
      <w:r w:rsidRPr="00E736E9">
        <w:rPr>
          <w:rFonts w:cstheme="minorHAnsi"/>
          <w:sz w:val="16"/>
          <w:szCs w:val="16"/>
        </w:rPr>
        <w:t>Pentachlorobenzene</w:t>
      </w:r>
      <w:proofErr w:type="spellEnd"/>
      <w:r w:rsidRPr="00E736E9">
        <w:rPr>
          <w:rFonts w:cstheme="minorHAnsi"/>
          <w:sz w:val="16"/>
          <w:szCs w:val="16"/>
        </w:rPr>
        <w:t xml:space="preserve"> (</w:t>
      </w:r>
      <w:proofErr w:type="spellStart"/>
      <w:r w:rsidRPr="00E736E9">
        <w:rPr>
          <w:rFonts w:cstheme="minorHAnsi"/>
          <w:sz w:val="16"/>
          <w:szCs w:val="16"/>
        </w:rPr>
        <w:t>PeCB</w:t>
      </w:r>
      <w:proofErr w:type="spellEnd"/>
      <w:r w:rsidRPr="00E736E9">
        <w:rPr>
          <w:rFonts w:cstheme="minorHAnsi"/>
          <w:sz w:val="16"/>
          <w:szCs w:val="16"/>
        </w:rPr>
        <w:t xml:space="preserve">). See Stockholm Convention Annex Parts I-III for details.  </w:t>
      </w:r>
    </w:p>
  </w:footnote>
  <w:footnote w:id="49">
    <w:p w14:paraId="6E292EC1" w14:textId="77777777" w:rsidR="00D70D43" w:rsidRPr="00461054" w:rsidRDefault="00D70D43" w:rsidP="00D70D43">
      <w:pPr>
        <w:pStyle w:val="FootnoteText"/>
      </w:pPr>
      <w:r>
        <w:rPr>
          <w:rStyle w:val="FootnoteReference"/>
        </w:rPr>
        <w:footnoteRef/>
      </w:r>
      <w:r w:rsidRPr="00461054">
        <w:t xml:space="preserve"> UNU Global E-waste Monitor 2017.</w:t>
      </w:r>
    </w:p>
  </w:footnote>
  <w:footnote w:id="50">
    <w:p w14:paraId="68733CEF" w14:textId="77777777" w:rsidR="00D70D43" w:rsidRDefault="00D70D43" w:rsidP="00D70D43">
      <w:pPr>
        <w:pStyle w:val="FootnoteText"/>
      </w:pPr>
      <w:r>
        <w:rPr>
          <w:rStyle w:val="FootnoteReference"/>
        </w:rPr>
        <w:footnoteRef/>
      </w:r>
      <w:r>
        <w:t xml:space="preserve"> </w:t>
      </w:r>
      <w:r w:rsidRPr="004472C2">
        <w:t xml:space="preserve">financed by </w:t>
      </w:r>
      <w:r>
        <w:t xml:space="preserve">a </w:t>
      </w:r>
      <w:r w:rsidRPr="004472C2">
        <w:t xml:space="preserve">solid waste Global Partnership on Output-Based Aid </w:t>
      </w:r>
      <w:r>
        <w:t>(GPOBA)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5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10"/>
      <w:gridCol w:w="4950"/>
      <w:gridCol w:w="5490"/>
    </w:tblGrid>
    <w:tr w:rsidR="00B649D6" w14:paraId="03E88BFB" w14:textId="77777777" w:rsidTr="00DC6614">
      <w:trPr>
        <w:trHeight w:val="162"/>
      </w:trPr>
      <w:tc>
        <w:tcPr>
          <w:tcW w:w="810" w:type="dxa"/>
          <w:vMerge w:val="restart"/>
        </w:tcPr>
        <w:p w14:paraId="3F8FFB45" w14:textId="77777777" w:rsidR="00640326" w:rsidRPr="00CB0D83" w:rsidRDefault="000603E8" w:rsidP="00DC6614">
          <w:pPr>
            <w:tabs>
              <w:tab w:val="center" w:pos="4680"/>
              <w:tab w:val="right" w:pos="9360"/>
            </w:tabs>
            <w:rPr>
              <w:b/>
            </w:rPr>
          </w:pPr>
          <w:r w:rsidRPr="00CB0D83">
            <w:rPr>
              <w:b/>
              <w:noProof/>
            </w:rPr>
            <w:drawing>
              <wp:inline distT="0" distB="0" distL="0" distR="0" wp14:anchorId="60668EF4" wp14:editId="5986FEAE">
                <wp:extent cx="310988" cy="3048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918543"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311721" cy="305519"/>
                        </a:xfrm>
                        <a:prstGeom prst="rect">
                          <a:avLst/>
                        </a:prstGeom>
                      </pic:spPr>
                    </pic:pic>
                  </a:graphicData>
                </a:graphic>
              </wp:inline>
            </w:drawing>
          </w:r>
        </w:p>
      </w:tc>
      <w:tc>
        <w:tcPr>
          <w:tcW w:w="4950" w:type="dxa"/>
          <w:vAlign w:val="center"/>
        </w:tcPr>
        <w:p w14:paraId="11A74F80" w14:textId="77777777" w:rsidR="00640326" w:rsidRPr="00CB0D83" w:rsidRDefault="000603E8" w:rsidP="00DC6614">
          <w:pPr>
            <w:tabs>
              <w:tab w:val="center" w:pos="4680"/>
              <w:tab w:val="right" w:pos="9360"/>
            </w:tabs>
            <w:ind w:left="-108"/>
          </w:pPr>
          <w:r w:rsidRPr="00CB0D83">
            <w:rPr>
              <w:b/>
            </w:rPr>
            <w:t>The World Bank</w:t>
          </w:r>
        </w:p>
      </w:tc>
      <w:tc>
        <w:tcPr>
          <w:tcW w:w="5490" w:type="dxa"/>
          <w:vAlign w:val="center"/>
        </w:tcPr>
        <w:p w14:paraId="5AA19546" w14:textId="77777777" w:rsidR="00640326" w:rsidRPr="00CB0D83" w:rsidRDefault="00640326" w:rsidP="00DC6614">
          <w:pPr>
            <w:tabs>
              <w:tab w:val="center" w:pos="4680"/>
              <w:tab w:val="right" w:pos="9360"/>
            </w:tabs>
            <w:jc w:val="right"/>
          </w:pPr>
        </w:p>
      </w:tc>
    </w:tr>
    <w:tr w:rsidR="00B649D6" w14:paraId="47F2E246" w14:textId="77777777" w:rsidTr="00DC6614">
      <w:trPr>
        <w:trHeight w:val="231"/>
      </w:trPr>
      <w:tc>
        <w:tcPr>
          <w:tcW w:w="810" w:type="dxa"/>
          <w:vMerge/>
        </w:tcPr>
        <w:p w14:paraId="0B4EBEBB" w14:textId="77777777" w:rsidR="00640326" w:rsidRPr="00CB0D83" w:rsidRDefault="00640326" w:rsidP="00DC6614">
          <w:pPr>
            <w:tabs>
              <w:tab w:val="center" w:pos="4680"/>
              <w:tab w:val="right" w:pos="9360"/>
            </w:tabs>
            <w:rPr>
              <w:b/>
              <w:noProof/>
            </w:rPr>
          </w:pPr>
        </w:p>
      </w:tc>
      <w:tc>
        <w:tcPr>
          <w:tcW w:w="10440" w:type="dxa"/>
          <w:gridSpan w:val="2"/>
        </w:tcPr>
        <w:p w14:paraId="66F7B54B" w14:textId="4AD0B1F0" w:rsidR="00640326" w:rsidRPr="00836DEE" w:rsidRDefault="000603E8" w:rsidP="00DC6614">
          <w:pPr>
            <w:tabs>
              <w:tab w:val="center" w:pos="4680"/>
              <w:tab w:val="right" w:pos="9360"/>
            </w:tabs>
            <w:ind w:left="-108" w:right="162"/>
            <w:rPr>
              <w:b/>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4829B3"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B649D6" w14:paraId="58DAB547" w14:textId="77777777" w:rsidTr="00DC6614">
      <w:trPr>
        <w:trHeight w:val="243"/>
      </w:trPr>
      <w:tc>
        <w:tcPr>
          <w:tcW w:w="11250" w:type="dxa"/>
          <w:gridSpan w:val="3"/>
          <w:vAlign w:val="center"/>
        </w:tcPr>
        <w:p w14:paraId="4BDF8413" w14:textId="77777777" w:rsidR="00640326" w:rsidRPr="00CB0D83" w:rsidRDefault="000603E8" w:rsidP="00DC6614">
          <w:pPr>
            <w:tabs>
              <w:tab w:val="center" w:pos="4680"/>
              <w:tab w:val="right" w:pos="9360"/>
            </w:tabs>
          </w:pPr>
          <w:r>
            <w:rPr>
              <w:i/>
              <w:noProof/>
              <w:color w:val="44546A" w:themeColor="text2"/>
            </w:rPr>
            <mc:AlternateContent>
              <mc:Choice Requires="wps">
                <w:drawing>
                  <wp:anchor distT="0" distB="0" distL="114300" distR="114300" simplePos="0" relativeHeight="251668480" behindDoc="0" locked="0" layoutInCell="1" allowOverlap="1" wp14:anchorId="2AE54376" wp14:editId="3859CF13">
                    <wp:simplePos x="0" y="0"/>
                    <wp:positionH relativeFrom="column">
                      <wp:posOffset>0</wp:posOffset>
                    </wp:positionH>
                    <wp:positionV relativeFrom="paragraph">
                      <wp:posOffset>82550</wp:posOffset>
                    </wp:positionV>
                    <wp:extent cx="6976872" cy="0"/>
                    <wp:effectExtent l="0" t="19050" r="52705" b="381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872"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4" o:spid="_x0000_s2049" style="flip:y;mso-height-percent:0;mso-height-relative:margin;mso-width-percent:0;mso-width-relative:margin;mso-wrap-distance-bottom:0;mso-wrap-distance-left:9pt;mso-wrap-distance-right:9pt;mso-wrap-distance-top:0;mso-wrap-style:square;position:absolute;visibility:visible;z-index:251669504" from="0,6.5pt" to="549.35pt,6.5pt" strokecolor="#4e92d1" strokeweight="4.5pt"/>
                </w:pict>
              </mc:Fallback>
            </mc:AlternateContent>
          </w:r>
        </w:p>
      </w:tc>
    </w:tr>
  </w:tbl>
  <w:p w14:paraId="59693F9B" w14:textId="77777777" w:rsidR="00640326" w:rsidRDefault="000603E8" w:rsidP="00DC6614">
    <w:pPr>
      <w:pStyle w:val="Header"/>
    </w:pPr>
    <w:r w:rsidRPr="009C4D0A">
      <w:rPr>
        <w:noProof/>
      </w:rPr>
      <mc:AlternateContent>
        <mc:Choice Requires="wps">
          <w:drawing>
            <wp:anchor distT="45720" distB="45720" distL="114300" distR="114300" simplePos="0" relativeHeight="251666432" behindDoc="0" locked="0" layoutInCell="1" allowOverlap="1" wp14:anchorId="6869D122" wp14:editId="3E88FF43">
              <wp:simplePos x="0" y="0"/>
              <wp:positionH relativeFrom="leftMargin">
                <wp:posOffset>123825</wp:posOffset>
              </wp:positionH>
              <wp:positionV relativeFrom="paragraph">
                <wp:posOffset>2379345</wp:posOffset>
              </wp:positionV>
              <wp:extent cx="371475" cy="1646554"/>
              <wp:effectExtent l="0" t="0" r="9525"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475" cy="1646554"/>
                      </a:xfrm>
                      <a:prstGeom prst="rect">
                        <a:avLst/>
                      </a:prstGeom>
                      <a:solidFill>
                        <a:srgbClr val="FFFFFF"/>
                      </a:solidFill>
                      <a:ln w="9525">
                        <a:noFill/>
                        <a:miter lim="800000"/>
                        <a:headEnd/>
                        <a:tailEnd/>
                      </a:ln>
                    </wps:spPr>
                    <wps:txbx>
                      <w:txbxContent>
                        <w:p w14:paraId="39CA6898" w14:textId="77777777" w:rsidR="00640326" w:rsidRPr="002C724F" w:rsidRDefault="000603E8" w:rsidP="00DC6614">
                          <w:pPr>
                            <w:rPr>
                              <w:color w:val="767171" w:themeColor="background2" w:themeShade="80"/>
                              <w:sz w:val="20"/>
                              <w:szCs w:val="20"/>
                            </w:rPr>
                          </w:pPr>
                          <w:r w:rsidRPr="002C724F">
                            <w:rPr>
                              <w:color w:val="767171" w:themeColor="background2" w:themeShade="80"/>
                              <w:sz w:val="20"/>
                              <w:szCs w:val="20"/>
                            </w:rPr>
                            <w:t>For Official Use Only</w:t>
                          </w: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6869D122" id="_x0000_t202" coordsize="21600,21600" o:spt="202" path="m,l,21600r21600,l21600,xe">
              <v:stroke joinstyle="miter"/>
              <v:path gradientshapeok="t" o:connecttype="rect"/>
            </v:shapetype>
            <v:shape id="Text Box 2" o:spid="_x0000_s1036" type="#_x0000_t202" style="position:absolute;margin-left:9.75pt;margin-top:187.35pt;width:29.25pt;height:129.65pt;z-index:251666432;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" stroked="f">
              <v:textbox style="layout-flow:vertical;mso-layout-flow-alt:bottom-to-top">
                <w:txbxContent>
                  <w:p w14:paraId="39CA6898" w14:textId="77777777" w:rsidR="00640326" w:rsidRPr="002C724F" w:rsidRDefault="000603E8" w:rsidP="00DC6614">
                    <w:pPr>
                      <w:rPr>
                        <w:color w:val="767171" w:themeColor="background2" w:themeShade="80"/>
                        <w:sz w:val="20"/>
                        <w:szCs w:val="20"/>
                      </w:rPr>
                    </w:pPr>
                    <w:r w:rsidRPr="002C724F">
                      <w:rPr>
                        <w:color w:val="767171" w:themeColor="background2" w:themeShade="80"/>
                        <w:sz w:val="20"/>
                        <w:szCs w:val="20"/>
                      </w:rPr>
                      <w:t>For Official Use Only</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B649D6" w14:paraId="775127E3" w14:textId="77777777" w:rsidTr="008D2AF0">
      <w:trPr>
        <w:trHeight w:val="162"/>
      </w:trPr>
      <w:tc>
        <w:tcPr>
          <w:tcW w:w="808" w:type="dxa"/>
          <w:vMerge w:val="restart"/>
          <w:hideMark/>
        </w:tcPr>
        <w:p w14:paraId="171D83AF" w14:textId="77777777" w:rsidR="00640326" w:rsidRDefault="000603E8">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4230F657" wp14:editId="6B674EA1">
                <wp:extent cx="314325" cy="304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6926092"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62517BF5" w14:textId="77777777"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6B0D465C" w14:textId="77777777" w:rsidR="00640326" w:rsidRDefault="00640326">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B649D6" w14:paraId="30C7D0FB" w14:textId="77777777" w:rsidTr="008D2AF0">
      <w:trPr>
        <w:trHeight w:val="231"/>
      </w:trPr>
      <w:tc>
        <w:tcPr>
          <w:tcW w:w="808" w:type="dxa"/>
          <w:vMerge/>
          <w:vAlign w:val="center"/>
          <w:hideMark/>
        </w:tcPr>
        <w:p w14:paraId="7F742207" w14:textId="77777777" w:rsidR="00640326" w:rsidRDefault="00640326">
          <w:pPr>
            <w:rPr>
              <w:rFonts w:ascii="Arial" w:eastAsiaTheme="minorEastAsia" w:hAnsi="Arial" w:cs="Arial"/>
              <w:b/>
              <w:color w:val="000000"/>
              <w:sz w:val="24"/>
              <w:szCs w:val="24"/>
            </w:rPr>
          </w:pPr>
        </w:p>
      </w:tc>
      <w:tc>
        <w:tcPr>
          <w:tcW w:w="10410" w:type="dxa"/>
          <w:gridSpan w:val="2"/>
          <w:hideMark/>
        </w:tcPr>
        <w:p w14:paraId="254A5C68" w14:textId="3567C9B2"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8F34B0"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B649D6" w14:paraId="7B76A33C" w14:textId="77777777" w:rsidTr="008D2AF0">
      <w:trPr>
        <w:trHeight w:val="243"/>
      </w:trPr>
      <w:tc>
        <w:tcPr>
          <w:tcW w:w="11218" w:type="dxa"/>
          <w:gridSpan w:val="3"/>
          <w:vAlign w:val="center"/>
          <w:hideMark/>
        </w:tcPr>
        <w:p w14:paraId="7CA906CB" w14:textId="77777777" w:rsidR="00640326" w:rsidRDefault="000603E8">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58240" behindDoc="0" locked="0" layoutInCell="1" allowOverlap="1" wp14:anchorId="75406D52" wp14:editId="43AEE64A">
                    <wp:simplePos x="0" y="0"/>
                    <wp:positionH relativeFrom="column">
                      <wp:posOffset>0</wp:posOffset>
                    </wp:positionH>
                    <wp:positionV relativeFrom="paragraph">
                      <wp:posOffset>82550</wp:posOffset>
                    </wp:positionV>
                    <wp:extent cx="6976745" cy="0"/>
                    <wp:effectExtent l="0" t="19050" r="14605" b="3810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12" o:spid="_x0000_s2052" style="flip:y;mso-height-percent:0;mso-height-relative:margin;mso-width-percent:0;mso-width-relative:margin;mso-wrap-distance-bottom:0;mso-wrap-distance-left:9pt;mso-wrap-distance-right:9pt;mso-wrap-distance-top:0;mso-wrap-style:square;position:absolute;visibility:visible;z-index:251659264" from="0,6.5pt" to="549.35pt,6.5pt" strokecolor="#4e92d1" strokeweight="4.5pt"/>
                </w:pict>
              </mc:Fallback>
            </mc:AlternateContent>
          </w:r>
        </w:p>
      </w:tc>
    </w:tr>
  </w:tbl>
  <w:p w14:paraId="116140FE" w14:textId="77777777" w:rsidR="00640326" w:rsidRPr="00E143A5" w:rsidRDefault="000603E8"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60288" behindDoc="0" locked="0" layoutInCell="1" allowOverlap="1" wp14:anchorId="27C57655" wp14:editId="5D595F5D">
              <wp:simplePos x="0" y="0"/>
              <wp:positionH relativeFrom="leftMargin">
                <wp:posOffset>91440</wp:posOffset>
              </wp:positionH>
              <wp:positionV relativeFrom="paragraph">
                <wp:posOffset>2377440</wp:posOffset>
              </wp:positionV>
              <wp:extent cx="365760" cy="164592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27411A2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07944A0B" w14:textId="77777777" w:rsidR="00640326" w:rsidRDefault="00640326"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27C57655" id="_x0000_t202" coordsize="21600,21600" o:spt="202" path="m,l,21600r21600,l21600,xe">
              <v:stroke joinstyle="miter"/>
              <v:path gradientshapeok="t" o:connecttype="rect"/>
            </v:shapetype>
            <v:shape id="Text Box 7" o:spid="_x0000_s1037" type="#_x0000_t202" style="position:absolute;margin-left:7.2pt;margin-top:187.2pt;width:28.8pt;height:129.6pt;z-index:251660288;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" stroked="f">
              <v:textbox style="layout-flow:vertical;mso-layout-flow-alt:bottom-to-top">
                <w:txbxContent>
                  <w:p w14:paraId="27411A2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07944A0B" w14:textId="77777777" w:rsidR="00640326" w:rsidRDefault="00640326" w:rsidP="008D2AF0">
                    <w:pPr>
                      <w:rPr>
                        <w:color w:val="767171" w:themeColor="background2" w:themeShade="80"/>
                        <w:sz w:val="20"/>
                        <w:szCs w:val="20"/>
                      </w:rPr>
                    </w:pP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3"/>
      <w:tblW w:w="11218" w:type="dxa"/>
      <w:tblInd w:w="-8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08"/>
      <w:gridCol w:w="4936"/>
      <w:gridCol w:w="5474"/>
    </w:tblGrid>
    <w:tr w:rsidR="00B649D6" w14:paraId="31D4A845" w14:textId="77777777" w:rsidTr="008D2AF0">
      <w:trPr>
        <w:trHeight w:val="162"/>
      </w:trPr>
      <w:tc>
        <w:tcPr>
          <w:tcW w:w="808" w:type="dxa"/>
          <w:vMerge w:val="restart"/>
          <w:hideMark/>
        </w:tcPr>
        <w:p w14:paraId="53046600" w14:textId="77777777" w:rsidR="00640326" w:rsidRDefault="000603E8">
          <w:pPr>
            <w:widowControl w:val="0"/>
            <w:tabs>
              <w:tab w:val="center" w:pos="4680"/>
              <w:tab w:val="right" w:pos="9360"/>
            </w:tabs>
            <w:autoSpaceDE w:val="0"/>
            <w:autoSpaceDN w:val="0"/>
            <w:adjustRightInd w:val="0"/>
            <w:rPr>
              <w:rFonts w:ascii="Arial" w:eastAsiaTheme="minorEastAsia" w:hAnsi="Arial" w:cs="Arial"/>
              <w:b/>
              <w:color w:val="000000"/>
              <w:sz w:val="24"/>
              <w:szCs w:val="24"/>
            </w:rPr>
          </w:pPr>
          <w:r>
            <w:rPr>
              <w:b/>
              <w:noProof/>
            </w:rPr>
            <w:drawing>
              <wp:inline distT="0" distB="0" distL="0" distR="0" wp14:anchorId="33CEF968" wp14:editId="2642DCC1">
                <wp:extent cx="314325" cy="3048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39088" name="Picture 3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4325" cy="304800"/>
                        </a:xfrm>
                        <a:prstGeom prst="rect">
                          <a:avLst/>
                        </a:prstGeom>
                        <a:noFill/>
                        <a:ln>
                          <a:noFill/>
                        </a:ln>
                      </pic:spPr>
                    </pic:pic>
                  </a:graphicData>
                </a:graphic>
              </wp:inline>
            </w:drawing>
          </w:r>
        </w:p>
      </w:tc>
      <w:tc>
        <w:tcPr>
          <w:tcW w:w="4936" w:type="dxa"/>
          <w:vAlign w:val="center"/>
          <w:hideMark/>
        </w:tcPr>
        <w:p w14:paraId="6AC9E789" w14:textId="77777777"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color w:val="000000"/>
              <w:sz w:val="24"/>
              <w:szCs w:val="24"/>
            </w:rPr>
          </w:pPr>
          <w:r w:rsidRPr="00E143A5">
            <w:rPr>
              <w:rFonts w:ascii="Arial" w:hAnsi="Arial" w:cs="Arial"/>
              <w:b/>
              <w:sz w:val="24"/>
            </w:rPr>
            <w:t>The World Bank</w:t>
          </w:r>
        </w:p>
      </w:tc>
      <w:tc>
        <w:tcPr>
          <w:tcW w:w="5474" w:type="dxa"/>
          <w:vAlign w:val="center"/>
        </w:tcPr>
        <w:p w14:paraId="5EC4754B" w14:textId="77777777" w:rsidR="00640326" w:rsidRDefault="00640326">
          <w:pPr>
            <w:widowControl w:val="0"/>
            <w:tabs>
              <w:tab w:val="center" w:pos="4680"/>
              <w:tab w:val="right" w:pos="9360"/>
            </w:tabs>
            <w:autoSpaceDE w:val="0"/>
            <w:autoSpaceDN w:val="0"/>
            <w:adjustRightInd w:val="0"/>
            <w:jc w:val="right"/>
            <w:rPr>
              <w:rFonts w:ascii="Arial" w:eastAsiaTheme="minorEastAsia" w:hAnsi="Arial" w:cs="Arial"/>
              <w:color w:val="000000"/>
              <w:sz w:val="24"/>
              <w:szCs w:val="24"/>
            </w:rPr>
          </w:pPr>
        </w:p>
      </w:tc>
    </w:tr>
    <w:tr w:rsidR="00B649D6" w14:paraId="10AB0FD5" w14:textId="77777777" w:rsidTr="008D2AF0">
      <w:trPr>
        <w:trHeight w:val="231"/>
      </w:trPr>
      <w:tc>
        <w:tcPr>
          <w:tcW w:w="808" w:type="dxa"/>
          <w:vMerge/>
          <w:vAlign w:val="center"/>
          <w:hideMark/>
        </w:tcPr>
        <w:p w14:paraId="464839BB" w14:textId="77777777" w:rsidR="00640326" w:rsidRDefault="00640326">
          <w:pPr>
            <w:rPr>
              <w:rFonts w:ascii="Arial" w:eastAsiaTheme="minorEastAsia" w:hAnsi="Arial" w:cs="Arial"/>
              <w:b/>
              <w:color w:val="000000"/>
              <w:sz w:val="24"/>
              <w:szCs w:val="24"/>
            </w:rPr>
          </w:pPr>
        </w:p>
      </w:tc>
      <w:tc>
        <w:tcPr>
          <w:tcW w:w="10410" w:type="dxa"/>
          <w:gridSpan w:val="2"/>
          <w:hideMark/>
        </w:tcPr>
        <w:p w14:paraId="5BDB8C87" w14:textId="098ED149" w:rsidR="00640326" w:rsidRPr="00E143A5" w:rsidRDefault="000603E8">
          <w:pPr>
            <w:widowControl w:val="0"/>
            <w:tabs>
              <w:tab w:val="center" w:pos="4680"/>
              <w:tab w:val="right" w:pos="9360"/>
            </w:tabs>
            <w:autoSpaceDE w:val="0"/>
            <w:autoSpaceDN w:val="0"/>
            <w:adjustRightInd w:val="0"/>
            <w:ind w:left="-108"/>
            <w:rPr>
              <w:rFonts w:ascii="Arial" w:eastAsiaTheme="minorEastAsia" w:hAnsi="Arial" w:cs="Arial"/>
              <w:b/>
              <w:color w:val="000000"/>
              <w:sz w:val="24"/>
              <w:szCs w:val="24"/>
            </w:rPr>
          </w:pPr>
          <w:r w:rsidRPr="00411217">
            <w:rPr>
              <w:rFonts w:ascii="Arial" w:hAnsi="Arial" w:cs="Arial"/>
              <w:bCs/>
              <w:sz w:val="20"/>
              <w:szCs w:val="20"/>
            </w:rPr>
            <w:fldChar w:fldCharType="begin"/>
          </w:r>
          <w:r w:rsidRPr="00411217">
            <w:rPr>
              <w:rFonts w:ascii="Arial" w:hAnsi="Arial" w:cs="Arial"/>
              <w:bCs/>
              <w:sz w:val="20"/>
              <w:szCs w:val="20"/>
            </w:rPr>
            <w:instrText xml:space="preserve"> IF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&lt;&gt; "" </w:instrText>
          </w:r>
          <w:r w:rsidRPr="00411217">
            <w:rPr>
              <w:rFonts w:ascii="Arial" w:hAnsi="Arial" w:cs="Arial"/>
              <w:bCs/>
              <w:noProof/>
              <w:sz w:val="20"/>
              <w:szCs w:val="20"/>
            </w:rPr>
            <w:instrText>"Africa Environmental Health and Pollution Management Program"</w:instrText>
          </w:r>
          <w:r w:rsidRPr="00411217">
            <w:rPr>
              <w:rFonts w:ascii="Arial" w:hAnsi="Arial" w:cs="Arial"/>
              <w:bCs/>
              <w:sz w:val="20"/>
              <w:szCs w:val="20"/>
            </w:rPr>
            <w:instrText xml:space="preserve"> ""</w:instrText>
          </w:r>
          <w:r w:rsidRPr="00411217">
            <w:rPr>
              <w:rFonts w:ascii="Arial" w:hAnsi="Arial" w:cs="Arial"/>
              <w:bCs/>
              <w:sz w:val="20"/>
              <w:szCs w:val="20"/>
            </w:rPr>
            <w:fldChar w:fldCharType="separate"/>
          </w:r>
          <w:r w:rsidR="008F34B0" w:rsidRPr="00411217">
            <w:rPr>
              <w:rFonts w:ascii="Arial" w:hAnsi="Arial" w:cs="Arial"/>
              <w:bCs/>
              <w:noProof/>
              <w:sz w:val="20"/>
              <w:szCs w:val="20"/>
            </w:rPr>
            <w:t>Africa Environmental Health and Pollution Management Program</w:t>
          </w:r>
          <w:r w:rsidRPr="00411217">
            <w:rPr>
              <w:rFonts w:ascii="Arial" w:hAnsi="Arial" w:cs="Arial"/>
              <w:bCs/>
              <w:sz w:val="20"/>
              <w:szCs w:val="20"/>
            </w:rPr>
            <w:fldChar w:fldCharType="end"/>
          </w:r>
          <w:r>
            <w:rPr>
              <w:rFonts w:ascii="Arial" w:hAnsi="Arial" w:cs="Arial"/>
              <w:bCs/>
              <w:sz w:val="20"/>
              <w:szCs w:val="20"/>
            </w:rPr>
            <w:t xml:space="preserve"> (</w:t>
          </w:r>
          <w:r>
            <w:rPr>
              <w:rFonts w:ascii="Arial" w:hAnsi="Arial" w:cs="Arial"/>
              <w:bCs/>
              <w:noProof/>
              <w:sz w:val="20"/>
              <w:szCs w:val="20"/>
            </w:rPr>
            <w:t>P167788</w:t>
          </w:r>
          <w:r>
            <w:rPr>
              <w:rFonts w:ascii="Arial" w:hAnsi="Arial" w:cs="Arial"/>
              <w:bCs/>
              <w:sz w:val="20"/>
              <w:szCs w:val="20"/>
            </w:rPr>
            <w:t>)</w:t>
          </w:r>
        </w:p>
      </w:tc>
    </w:tr>
    <w:tr w:rsidR="00B649D6" w14:paraId="2A195D2A" w14:textId="77777777" w:rsidTr="008D2AF0">
      <w:trPr>
        <w:trHeight w:val="243"/>
      </w:trPr>
      <w:tc>
        <w:tcPr>
          <w:tcW w:w="11218" w:type="dxa"/>
          <w:gridSpan w:val="3"/>
          <w:vAlign w:val="center"/>
          <w:hideMark/>
        </w:tcPr>
        <w:p w14:paraId="0D8B0A5D" w14:textId="77777777" w:rsidR="00640326" w:rsidRDefault="000603E8">
          <w:pPr>
            <w:widowControl w:val="0"/>
            <w:tabs>
              <w:tab w:val="center" w:pos="4680"/>
              <w:tab w:val="right" w:pos="9360"/>
            </w:tabs>
            <w:autoSpaceDE w:val="0"/>
            <w:autoSpaceDN w:val="0"/>
            <w:adjustRightInd w:val="0"/>
            <w:rPr>
              <w:rFonts w:ascii="Arial" w:eastAsiaTheme="minorEastAsia" w:hAnsi="Arial" w:cs="Arial"/>
              <w:color w:val="000000"/>
              <w:sz w:val="24"/>
              <w:szCs w:val="24"/>
            </w:rPr>
          </w:pPr>
          <w:r>
            <w:rPr>
              <w:rFonts w:ascii="Arial" w:eastAsiaTheme="minorEastAsia" w:hAnsi="Arial" w:cs="Arial"/>
              <w:noProof/>
              <w:color w:val="000000"/>
              <w:sz w:val="24"/>
              <w:szCs w:val="24"/>
            </w:rPr>
            <mc:AlternateContent>
              <mc:Choice Requires="wps">
                <w:drawing>
                  <wp:anchor distT="0" distB="0" distL="114300" distR="114300" simplePos="0" relativeHeight="251670528" behindDoc="0" locked="0" layoutInCell="1" allowOverlap="1" wp14:anchorId="6E1BA703" wp14:editId="35E30232">
                    <wp:simplePos x="0" y="0"/>
                    <wp:positionH relativeFrom="column">
                      <wp:posOffset>0</wp:posOffset>
                    </wp:positionH>
                    <wp:positionV relativeFrom="paragraph">
                      <wp:posOffset>82550</wp:posOffset>
                    </wp:positionV>
                    <wp:extent cx="6976745" cy="0"/>
                    <wp:effectExtent l="0" t="19050" r="14605" b="38100"/>
                    <wp:wrapNone/>
                    <wp:docPr id="30" name="Straight Connector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976745" cy="0"/>
                            </a:xfrm>
                            <a:prstGeom prst="line">
                              <a:avLst/>
                            </a:prstGeom>
                            <a:noFill/>
                            <a:ln w="57150">
                              <a:solidFill>
                                <a:schemeClr val="accent1">
                                  <a:lumMod val="95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id="Straight Connector 30" o:spid="_x0000_s2055" style="flip:y;mso-height-percent:0;mso-height-relative:margin;mso-width-percent:0;mso-width-relative:margin;mso-wrap-distance-bottom:0;mso-wrap-distance-left:9pt;mso-wrap-distance-right:9pt;mso-wrap-distance-top:0;mso-wrap-style:square;position:absolute;visibility:visible;z-index:251671552" from="0,6.5pt" to="549.35pt,6.5pt" strokecolor="#4e92d1" strokeweight="4.5pt"/>
                </w:pict>
              </mc:Fallback>
            </mc:AlternateContent>
          </w:r>
        </w:p>
      </w:tc>
    </w:tr>
  </w:tbl>
  <w:p w14:paraId="2A17E3C2" w14:textId="77777777" w:rsidR="00640326" w:rsidRPr="00E143A5" w:rsidRDefault="000603E8" w:rsidP="008D2AF0">
    <w:pPr>
      <w:pStyle w:val="Header"/>
      <w:rPr>
        <w:rFonts w:ascii="Arial" w:hAnsi="Arial" w:cs="Arial"/>
        <w:sz w:val="24"/>
      </w:rPr>
    </w:pPr>
    <w:r w:rsidRPr="00E143A5">
      <w:rPr>
        <w:rFonts w:ascii="Arial" w:hAnsi="Arial" w:cs="Arial"/>
        <w:noProof/>
        <w:sz w:val="24"/>
      </w:rPr>
      <mc:AlternateContent>
        <mc:Choice Requires="wps">
          <w:drawing>
            <wp:anchor distT="45720" distB="45720" distL="114300" distR="114300" simplePos="0" relativeHeight="251672576" behindDoc="0" locked="0" layoutInCell="1" allowOverlap="1" wp14:anchorId="60D8056A" wp14:editId="5A5497C3">
              <wp:simplePos x="0" y="0"/>
              <wp:positionH relativeFrom="leftMargin">
                <wp:posOffset>91440</wp:posOffset>
              </wp:positionH>
              <wp:positionV relativeFrom="paragraph">
                <wp:posOffset>2377440</wp:posOffset>
              </wp:positionV>
              <wp:extent cx="365760" cy="164592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1645920"/>
                      </a:xfrm>
                      <a:prstGeom prst="rect">
                        <a:avLst/>
                      </a:prstGeom>
                      <a:solidFill>
                        <a:srgbClr val="FFFFFF"/>
                      </a:solidFill>
                      <a:ln w="9525">
                        <a:noFill/>
                        <a:miter lim="800000"/>
                        <a:headEnd/>
                        <a:tailEnd/>
                      </a:ln>
                    </wps:spPr>
                    <wps:txbx>
                      <w:txbxContent>
                        <w:p w14:paraId="36E0088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4BB321CB" w14:textId="77777777" w:rsidR="00640326" w:rsidRDefault="00640326" w:rsidP="008D2AF0">
                          <w:pPr>
                            <w:rPr>
                              <w:color w:val="767171" w:themeColor="background2" w:themeShade="80"/>
                              <w:sz w:val="20"/>
                              <w:szCs w:val="20"/>
                            </w:rPr>
                          </w:pPr>
                        </w:p>
                      </w:txbxContent>
                    </wps:txbx>
                    <wps:bodyPr rot="0" vert="vert270" wrap="square" anchor="t" anchorCtr="0"/>
                  </wps:wsp>
                </a:graphicData>
              </a:graphic>
              <wp14:sizeRelH relativeFrom="margin">
                <wp14:pctWidth>0</wp14:pctWidth>
              </wp14:sizeRelH>
              <wp14:sizeRelV relativeFrom="margin">
                <wp14:pctHeight>0</wp14:pctHeight>
              </wp14:sizeRelV>
            </wp:anchor>
          </w:drawing>
        </mc:Choice>
        <mc:Fallback>
          <w:pict>
            <v:shapetype w14:anchorId="60D8056A" id="_x0000_t202" coordsize="21600,21600" o:spt="202" path="m,l,21600r21600,l21600,xe">
              <v:stroke joinstyle="miter"/>
              <v:path gradientshapeok="t" o:connecttype="rect"/>
            </v:shapetype>
            <v:shape id="Text Box 31" o:spid="_x0000_s1038" type="#_x0000_t202" style="position:absolute;margin-left:7.2pt;margin-top:187.2pt;width:28.8pt;height:129.6pt;z-index:251672576;visibility:visible;mso-wrap-style:square;mso-width-percent:0;mso-height-percent:0;mso-wrap-distance-left:9pt;mso-wrap-distance-top:3.6pt;mso-wrap-distance-right:9pt;mso-wrap-distance-bottom:3.6pt;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" stroked="f">
              <v:textbox style="layout-flow:vertical;mso-layout-flow-alt:bottom-to-top">
                <w:txbxContent>
                  <w:p w14:paraId="36E00882" w14:textId="77777777" w:rsidR="00640326" w:rsidRPr="00E143A5" w:rsidRDefault="000603E8" w:rsidP="008D2AF0">
                    <w:pPr>
                      <w:widowControl w:val="0"/>
                      <w:autoSpaceDE w:val="0"/>
                      <w:autoSpaceDN w:val="0"/>
                      <w:adjustRightInd w:val="0"/>
                      <w:spacing w:after="0" w:line="240" w:lineRule="auto"/>
                      <w:rPr>
                        <w:rFonts w:ascii="Calibri" w:eastAsia="Times New Roman" w:hAnsi="Calibri" w:cs="Arial"/>
                        <w:sz w:val="20"/>
                        <w:szCs w:val="20"/>
                      </w:rPr>
                    </w:pPr>
                    <w:r w:rsidRPr="00E143A5">
                      <w:rPr>
                        <w:rFonts w:ascii="Calibri" w:eastAsia="Times New Roman" w:hAnsi="Calibri" w:cs="Arial"/>
                        <w:color w:val="767171"/>
                        <w:sz w:val="20"/>
                        <w:szCs w:val="20"/>
                      </w:rPr>
                      <w:t>For Official Use Only</w:t>
                    </w:r>
                  </w:p>
                  <w:p w14:paraId="4BB321CB" w14:textId="77777777" w:rsidR="00640326" w:rsidRDefault="00640326" w:rsidP="008D2AF0">
                    <w:pPr>
                      <w:rPr>
                        <w:color w:val="767171" w:themeColor="background2" w:themeShade="80"/>
                        <w:sz w:val="20"/>
                        <w:szCs w:val="20"/>
                      </w:rPr>
                    </w:pPr>
                  </w:p>
                </w:txbxContent>
              </v:textbox>
              <w10:wrap anchorx="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0CBE19" w14:textId="77777777" w:rsidR="00733148" w:rsidRDefault="008F34B0">
    <w:pPr>
      <w:pStyle w:val="Header"/>
    </w:pPr>
    <w:r>
      <w:rPr>
        <w:noProof/>
      </w:rPr>
      <w:pict w14:anchorId="6F6445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9" o:spid="_x0000_s2050" type="#_x0000_t75" style="position:absolute;margin-left:0;margin-top:0;width:467.95pt;height:467.95pt;z-index:-251637760;mso-position-horizontal:center;mso-position-horizontal-relative:margin;mso-position-vertical:center;mso-position-vertical-relative:margin" o:allowincell="f">
          <v:imagedata r:id="rId1" o:title="WBG" gain="19661f" blacklevel="22938f"/>
          <w10:wrap anchorx="margin" anchory="margin"/>
        </v:shape>
      </w:pict>
    </w:r>
  </w:p>
  <w:p w14:paraId="3BBA3843" w14:textId="77777777" w:rsidR="00733148" w:rsidRDefault="00733148"/>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216" w:type="dxa"/>
      <w:tblInd w:w="-960" w:type="dxa"/>
      <w:tblBorders>
        <w:top w:val="nil"/>
        <w:left w:val="nil"/>
        <w:bottom w:val="nil"/>
        <w:right w:val="nil"/>
        <w:insideH w:val="nil"/>
        <w:insideV w:val="nil"/>
      </w:tblBorders>
      <w:tblLayout w:type="fixed"/>
      <w:tblLook w:val="04A0" w:firstRow="1" w:lastRow="0" w:firstColumn="1" w:lastColumn="0" w:noHBand="0" w:noVBand="1"/>
    </w:tblPr>
    <w:tblGrid>
      <w:gridCol w:w="777"/>
      <w:gridCol w:w="5218"/>
      <w:gridCol w:w="5221"/>
    </w:tblGrid>
    <w:tr w:rsidR="00733148" w14:paraId="239CB661" w14:textId="77777777" w:rsidTr="003615CB">
      <w:trPr>
        <w:trHeight w:val="162"/>
      </w:trPr>
      <w:tc>
        <w:tcPr>
          <w:tcW w:w="777" w:type="dxa"/>
          <w:vMerge w:val="restart"/>
        </w:tcPr>
        <w:p w14:paraId="5B97E128" w14:textId="77777777" w:rsidR="00733148" w:rsidRPr="00BF642B" w:rsidRDefault="00733148" w:rsidP="003615CB">
          <w:pPr>
            <w:pStyle w:val="Header"/>
            <w:rPr>
              <w:b/>
            </w:rPr>
          </w:pPr>
          <w:r w:rsidRPr="00BF642B">
            <w:rPr>
              <w:b/>
              <w:noProof/>
            </w:rPr>
            <w:drawing>
              <wp:inline distT="0" distB="0" distL="0" distR="0" wp14:anchorId="25B11B7C" wp14:editId="16782EFA">
                <wp:extent cx="295275" cy="289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793640" name="WB_logo.png"/>
                        <pic:cNvPicPr/>
                      </pic:nvPicPr>
                      <pic:blipFill>
                        <a:blip r:embed="rId1">
                          <a:extLst>
                            <a:ext uri="{28A0092B-C50C-407E-A947-70E740481C1C}">
                              <a14:useLocalDpi xmlns:a14="http://schemas.microsoft.com/office/drawing/2010/main" val="0"/>
                            </a:ext>
                          </a:extLst>
                        </a:blip>
                        <a:stretch>
                          <a:fillRect/>
                        </a:stretch>
                      </pic:blipFill>
                      <pic:spPr>
                        <a:xfrm>
                          <a:off x="0" y="0"/>
                          <a:ext cx="293682" cy="287838"/>
                        </a:xfrm>
                        <a:prstGeom prst="rect">
                          <a:avLst/>
                        </a:prstGeom>
                      </pic:spPr>
                    </pic:pic>
                  </a:graphicData>
                </a:graphic>
              </wp:inline>
            </w:drawing>
          </w:r>
        </w:p>
      </w:tc>
      <w:tc>
        <w:tcPr>
          <w:tcW w:w="5218" w:type="dxa"/>
          <w:vAlign w:val="center"/>
        </w:tcPr>
        <w:p w14:paraId="6CA5AC25" w14:textId="77777777" w:rsidR="00733148" w:rsidRDefault="00733148" w:rsidP="003615CB">
          <w:pPr>
            <w:pStyle w:val="Header"/>
            <w:ind w:left="-108"/>
          </w:pPr>
          <w:r w:rsidRPr="005F6C54">
            <w:rPr>
              <w:b/>
            </w:rPr>
            <w:t>The World Bank</w:t>
          </w:r>
        </w:p>
      </w:tc>
      <w:tc>
        <w:tcPr>
          <w:tcW w:w="5221" w:type="dxa"/>
          <w:vAlign w:val="center"/>
        </w:tcPr>
        <w:p w14:paraId="2ACA07DF" w14:textId="77777777" w:rsidR="00733148" w:rsidRDefault="00733148" w:rsidP="003615CB">
          <w:pPr>
            <w:pStyle w:val="Header"/>
            <w:jc w:val="right"/>
          </w:pPr>
        </w:p>
      </w:tc>
    </w:tr>
    <w:tr w:rsidR="00733148" w14:paraId="31F315EB" w14:textId="77777777" w:rsidTr="003615CB">
      <w:trPr>
        <w:trHeight w:val="231"/>
      </w:trPr>
      <w:tc>
        <w:tcPr>
          <w:tcW w:w="777" w:type="dxa"/>
          <w:vMerge/>
        </w:tcPr>
        <w:p w14:paraId="4E0D5BD6" w14:textId="77777777" w:rsidR="00733148" w:rsidRPr="00BF642B" w:rsidRDefault="00733148" w:rsidP="003615CB">
          <w:pPr>
            <w:pStyle w:val="Header"/>
            <w:rPr>
              <w:b/>
              <w:noProof/>
            </w:rPr>
          </w:pPr>
        </w:p>
      </w:tc>
      <w:tc>
        <w:tcPr>
          <w:tcW w:w="10439" w:type="dxa"/>
          <w:gridSpan w:val="2"/>
        </w:tcPr>
        <w:p w14:paraId="71890E36" w14:textId="77777777" w:rsidR="00733148" w:rsidRPr="006E6C00" w:rsidRDefault="00733148" w:rsidP="003615CB">
          <w:pPr>
            <w:pStyle w:val="Header"/>
            <w:ind w:left="-108"/>
            <w:rPr>
              <w:bCs/>
              <w:noProof/>
              <w:sz w:val="20"/>
              <w:szCs w:val="20"/>
            </w:rPr>
          </w:pPr>
          <w:r>
            <w:rPr>
              <w:bCs/>
              <w:noProof/>
              <w:sz w:val="20"/>
              <w:szCs w:val="20"/>
            </w:rPr>
            <w:t>Africa Environmental Health and Pollution Management Program</w:t>
          </w:r>
          <w:r>
            <w:rPr>
              <w:bCs/>
              <w:sz w:val="20"/>
              <w:szCs w:val="20"/>
            </w:rPr>
            <w:t xml:space="preserve"> (</w:t>
          </w:r>
          <w:r>
            <w:rPr>
              <w:bCs/>
              <w:noProof/>
              <w:sz w:val="20"/>
              <w:szCs w:val="20"/>
            </w:rPr>
            <w:t>P167788</w:t>
          </w:r>
          <w:r w:rsidRPr="006435B1">
            <w:rPr>
              <w:bCs/>
              <w:sz w:val="20"/>
              <w:szCs w:val="20"/>
            </w:rPr>
            <w:t>)</w:t>
          </w:r>
        </w:p>
      </w:tc>
    </w:tr>
    <w:tr w:rsidR="00733148" w14:paraId="76879DA2" w14:textId="77777777" w:rsidTr="003615CB">
      <w:trPr>
        <w:trHeight w:val="313"/>
      </w:trPr>
      <w:tc>
        <w:tcPr>
          <w:tcW w:w="11216" w:type="dxa"/>
          <w:gridSpan w:val="3"/>
        </w:tcPr>
        <w:p w14:paraId="559CAC37" w14:textId="77777777" w:rsidR="00733148" w:rsidRDefault="00733148" w:rsidP="003615CB">
          <w:pPr>
            <w:pStyle w:val="Header"/>
          </w:pPr>
          <w:r>
            <w:rPr>
              <w:i/>
              <w:noProof/>
              <w:color w:val="44546A" w:themeColor="text2"/>
            </w:rPr>
            <mc:AlternateContent>
              <mc:Choice Requires="wps">
                <w:drawing>
                  <wp:anchor distT="0" distB="0" distL="114300" distR="114300" simplePos="0" relativeHeight="251676672" behindDoc="0" locked="0" layoutInCell="1" allowOverlap="1" wp14:anchorId="1BAEF8E0" wp14:editId="228E6ADD">
                    <wp:simplePos x="0" y="0"/>
                    <wp:positionH relativeFrom="column">
                      <wp:posOffset>-117475</wp:posOffset>
                    </wp:positionH>
                    <wp:positionV relativeFrom="paragraph">
                      <wp:posOffset>153670</wp:posOffset>
                    </wp:positionV>
                    <wp:extent cx="9401175" cy="0"/>
                    <wp:effectExtent l="0" t="19050" r="47625" b="3810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401175" cy="0"/>
                            </a:xfrm>
                            <a:prstGeom prst="line">
                              <a:avLst/>
                            </a:prstGeom>
                            <a:noFill/>
                            <a:ln w="57150">
                              <a:solidFill>
                                <a:srgbClr val="4E92D1"/>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562CFE87" id="Straight Connector 8"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5pt,12.1pt" to="731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" strokecolor="#4e92d1" strokeweight="4.5pt"/>
                </w:pict>
              </mc:Fallback>
            </mc:AlternateContent>
          </w:r>
        </w:p>
      </w:tc>
    </w:tr>
  </w:tbl>
  <w:p w14:paraId="4BB74005" w14:textId="77777777" w:rsidR="00733148" w:rsidRDefault="00733148">
    <w:pPr>
      <w:pStyle w:val="Header"/>
    </w:pPr>
  </w:p>
  <w:p w14:paraId="05EFE0BD" w14:textId="77777777" w:rsidR="00733148" w:rsidRDefault="00733148"/>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8F67A" w14:textId="77777777" w:rsidR="00733148" w:rsidRDefault="008F34B0">
    <w:pPr>
      <w:pStyle w:val="Header"/>
    </w:pPr>
    <w:r>
      <w:rPr>
        <w:noProof/>
      </w:rPr>
      <w:pict w14:anchorId="74D64B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710668" o:spid="_x0000_s2049" type="#_x0000_t75" style="position:absolute;margin-left:0;margin-top:0;width:467.95pt;height:467.95pt;z-index:-251638784;mso-position-horizontal:center;mso-position-horizontal-relative:margin;mso-position-vertical:center;mso-position-vertical-relative:margin" o:allowincell="f">
          <v:imagedata r:id="rId1" o:title="WBG"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E362E4"/>
    <w:multiLevelType w:val="hybridMultilevel"/>
    <w:tmpl w:val="144AB224"/>
    <w:lvl w:ilvl="0" w:tplc="99B2E55C">
      <w:start w:val="1"/>
      <w:numFmt w:val="bullet"/>
      <w:lvlText w:val=""/>
      <w:lvlJc w:val="left"/>
      <w:pPr>
        <w:ind w:left="720" w:hanging="360"/>
      </w:pPr>
      <w:rPr>
        <w:rFonts w:ascii="Symbol" w:hAnsi="Symbol" w:hint="default"/>
      </w:rPr>
    </w:lvl>
    <w:lvl w:ilvl="1" w:tplc="AB268108" w:tentative="1">
      <w:start w:val="1"/>
      <w:numFmt w:val="bullet"/>
      <w:lvlText w:val="o"/>
      <w:lvlJc w:val="left"/>
      <w:pPr>
        <w:ind w:left="1440" w:hanging="360"/>
      </w:pPr>
      <w:rPr>
        <w:rFonts w:ascii="Courier New" w:hAnsi="Courier New" w:cs="Courier New" w:hint="default"/>
      </w:rPr>
    </w:lvl>
    <w:lvl w:ilvl="2" w:tplc="A754D0F8" w:tentative="1">
      <w:start w:val="1"/>
      <w:numFmt w:val="bullet"/>
      <w:lvlText w:val=""/>
      <w:lvlJc w:val="left"/>
      <w:pPr>
        <w:ind w:left="2160" w:hanging="360"/>
      </w:pPr>
      <w:rPr>
        <w:rFonts w:ascii="Wingdings" w:hAnsi="Wingdings" w:hint="default"/>
      </w:rPr>
    </w:lvl>
    <w:lvl w:ilvl="3" w:tplc="3D3A56DE" w:tentative="1">
      <w:start w:val="1"/>
      <w:numFmt w:val="bullet"/>
      <w:lvlText w:val=""/>
      <w:lvlJc w:val="left"/>
      <w:pPr>
        <w:ind w:left="2880" w:hanging="360"/>
      </w:pPr>
      <w:rPr>
        <w:rFonts w:ascii="Symbol" w:hAnsi="Symbol" w:hint="default"/>
      </w:rPr>
    </w:lvl>
    <w:lvl w:ilvl="4" w:tplc="E586CE2A" w:tentative="1">
      <w:start w:val="1"/>
      <w:numFmt w:val="bullet"/>
      <w:lvlText w:val="o"/>
      <w:lvlJc w:val="left"/>
      <w:pPr>
        <w:ind w:left="3600" w:hanging="360"/>
      </w:pPr>
      <w:rPr>
        <w:rFonts w:ascii="Courier New" w:hAnsi="Courier New" w:cs="Courier New" w:hint="default"/>
      </w:rPr>
    </w:lvl>
    <w:lvl w:ilvl="5" w:tplc="DA2ED6DE" w:tentative="1">
      <w:start w:val="1"/>
      <w:numFmt w:val="bullet"/>
      <w:lvlText w:val=""/>
      <w:lvlJc w:val="left"/>
      <w:pPr>
        <w:ind w:left="4320" w:hanging="360"/>
      </w:pPr>
      <w:rPr>
        <w:rFonts w:ascii="Wingdings" w:hAnsi="Wingdings" w:hint="default"/>
      </w:rPr>
    </w:lvl>
    <w:lvl w:ilvl="6" w:tplc="82D46F46" w:tentative="1">
      <w:start w:val="1"/>
      <w:numFmt w:val="bullet"/>
      <w:lvlText w:val=""/>
      <w:lvlJc w:val="left"/>
      <w:pPr>
        <w:ind w:left="5040" w:hanging="360"/>
      </w:pPr>
      <w:rPr>
        <w:rFonts w:ascii="Symbol" w:hAnsi="Symbol" w:hint="default"/>
      </w:rPr>
    </w:lvl>
    <w:lvl w:ilvl="7" w:tplc="7340FC86" w:tentative="1">
      <w:start w:val="1"/>
      <w:numFmt w:val="bullet"/>
      <w:lvlText w:val="o"/>
      <w:lvlJc w:val="left"/>
      <w:pPr>
        <w:ind w:left="5760" w:hanging="360"/>
      </w:pPr>
      <w:rPr>
        <w:rFonts w:ascii="Courier New" w:hAnsi="Courier New" w:cs="Courier New" w:hint="default"/>
      </w:rPr>
    </w:lvl>
    <w:lvl w:ilvl="8" w:tplc="4586A4AA" w:tentative="1">
      <w:start w:val="1"/>
      <w:numFmt w:val="bullet"/>
      <w:lvlText w:val=""/>
      <w:lvlJc w:val="left"/>
      <w:pPr>
        <w:ind w:left="6480" w:hanging="360"/>
      </w:pPr>
      <w:rPr>
        <w:rFonts w:ascii="Wingdings" w:hAnsi="Wingdings" w:hint="default"/>
      </w:rPr>
    </w:lvl>
  </w:abstractNum>
  <w:abstractNum w:abstractNumId="1" w15:restartNumberingAfterBreak="0">
    <w:nsid w:val="0BD33F80"/>
    <w:multiLevelType w:val="hybridMultilevel"/>
    <w:tmpl w:val="AF76E64C"/>
    <w:lvl w:ilvl="0" w:tplc="99EA556C">
      <w:numFmt w:val="bullet"/>
      <w:lvlText w:val="-"/>
      <w:lvlJc w:val="left"/>
      <w:pPr>
        <w:ind w:left="525" w:hanging="435"/>
      </w:pPr>
      <w:rPr>
        <w:rFonts w:ascii="Times New Roman" w:eastAsia="Times New Roman" w:hAnsi="Times New Roman" w:cs="Times New Roman" w:hint="default"/>
        <w:b w:val="0"/>
        <w:sz w:val="22"/>
        <w:szCs w:val="22"/>
      </w:rPr>
    </w:lvl>
    <w:lvl w:ilvl="1" w:tplc="80247F76" w:tentative="1">
      <w:start w:val="1"/>
      <w:numFmt w:val="bullet"/>
      <w:lvlText w:val="o"/>
      <w:lvlJc w:val="left"/>
      <w:pPr>
        <w:ind w:left="-60" w:hanging="360"/>
      </w:pPr>
      <w:rPr>
        <w:rFonts w:ascii="Courier New" w:hAnsi="Courier New" w:cs="Courier New" w:hint="default"/>
      </w:rPr>
    </w:lvl>
    <w:lvl w:ilvl="2" w:tplc="356E29DC" w:tentative="1">
      <w:start w:val="1"/>
      <w:numFmt w:val="bullet"/>
      <w:lvlText w:val=""/>
      <w:lvlJc w:val="left"/>
      <w:pPr>
        <w:ind w:left="660" w:hanging="360"/>
      </w:pPr>
      <w:rPr>
        <w:rFonts w:ascii="Wingdings" w:hAnsi="Wingdings" w:hint="default"/>
      </w:rPr>
    </w:lvl>
    <w:lvl w:ilvl="3" w:tplc="34A86B94" w:tentative="1">
      <w:start w:val="1"/>
      <w:numFmt w:val="bullet"/>
      <w:lvlText w:val=""/>
      <w:lvlJc w:val="left"/>
      <w:pPr>
        <w:ind w:left="1380" w:hanging="360"/>
      </w:pPr>
      <w:rPr>
        <w:rFonts w:ascii="Symbol" w:hAnsi="Symbol" w:hint="default"/>
      </w:rPr>
    </w:lvl>
    <w:lvl w:ilvl="4" w:tplc="7D06D4C8" w:tentative="1">
      <w:start w:val="1"/>
      <w:numFmt w:val="bullet"/>
      <w:lvlText w:val="o"/>
      <w:lvlJc w:val="left"/>
      <w:pPr>
        <w:ind w:left="2100" w:hanging="360"/>
      </w:pPr>
      <w:rPr>
        <w:rFonts w:ascii="Courier New" w:hAnsi="Courier New" w:cs="Courier New" w:hint="default"/>
      </w:rPr>
    </w:lvl>
    <w:lvl w:ilvl="5" w:tplc="B09604A0" w:tentative="1">
      <w:start w:val="1"/>
      <w:numFmt w:val="bullet"/>
      <w:lvlText w:val=""/>
      <w:lvlJc w:val="left"/>
      <w:pPr>
        <w:ind w:left="2820" w:hanging="360"/>
      </w:pPr>
      <w:rPr>
        <w:rFonts w:ascii="Wingdings" w:hAnsi="Wingdings" w:hint="default"/>
      </w:rPr>
    </w:lvl>
    <w:lvl w:ilvl="6" w:tplc="BF9C618C" w:tentative="1">
      <w:start w:val="1"/>
      <w:numFmt w:val="bullet"/>
      <w:lvlText w:val=""/>
      <w:lvlJc w:val="left"/>
      <w:pPr>
        <w:ind w:left="3540" w:hanging="360"/>
      </w:pPr>
      <w:rPr>
        <w:rFonts w:ascii="Symbol" w:hAnsi="Symbol" w:hint="default"/>
      </w:rPr>
    </w:lvl>
    <w:lvl w:ilvl="7" w:tplc="D0E8CA22" w:tentative="1">
      <w:start w:val="1"/>
      <w:numFmt w:val="bullet"/>
      <w:lvlText w:val="o"/>
      <w:lvlJc w:val="left"/>
      <w:pPr>
        <w:ind w:left="4260" w:hanging="360"/>
      </w:pPr>
      <w:rPr>
        <w:rFonts w:ascii="Courier New" w:hAnsi="Courier New" w:cs="Courier New" w:hint="default"/>
      </w:rPr>
    </w:lvl>
    <w:lvl w:ilvl="8" w:tplc="1F8A5694" w:tentative="1">
      <w:start w:val="1"/>
      <w:numFmt w:val="bullet"/>
      <w:lvlText w:val=""/>
      <w:lvlJc w:val="left"/>
      <w:pPr>
        <w:ind w:left="4980" w:hanging="360"/>
      </w:pPr>
      <w:rPr>
        <w:rFonts w:ascii="Wingdings" w:hAnsi="Wingdings" w:hint="default"/>
      </w:rPr>
    </w:lvl>
  </w:abstractNum>
  <w:abstractNum w:abstractNumId="2" w15:restartNumberingAfterBreak="0">
    <w:nsid w:val="0C2353D5"/>
    <w:multiLevelType w:val="hybridMultilevel"/>
    <w:tmpl w:val="7C02D89A"/>
    <w:lvl w:ilvl="0" w:tplc="A4AC09F2">
      <w:start w:val="1"/>
      <w:numFmt w:val="decimal"/>
      <w:lvlText w:val="%1."/>
      <w:lvlJc w:val="left"/>
      <w:pPr>
        <w:ind w:left="3" w:hanging="435"/>
      </w:pPr>
      <w:rPr>
        <w:rFonts w:ascii="Times New Roman" w:hAnsi="Times New Roman" w:cs="Times New Roman" w:hint="default"/>
        <w:b w:val="0"/>
        <w:sz w:val="22"/>
        <w:szCs w:val="22"/>
      </w:rPr>
    </w:lvl>
    <w:lvl w:ilvl="1" w:tplc="D6AC21B8">
      <w:start w:val="1"/>
      <w:numFmt w:val="lowerLetter"/>
      <w:lvlText w:val="%2."/>
      <w:lvlJc w:val="left"/>
      <w:pPr>
        <w:ind w:left="648" w:hanging="360"/>
      </w:pPr>
      <w:rPr>
        <w:b w:val="0"/>
      </w:rPr>
    </w:lvl>
    <w:lvl w:ilvl="2" w:tplc="110C63FE">
      <w:start w:val="1"/>
      <w:numFmt w:val="lowerRoman"/>
      <w:lvlText w:val="%3."/>
      <w:lvlJc w:val="right"/>
      <w:pPr>
        <w:ind w:left="1368" w:hanging="180"/>
      </w:pPr>
    </w:lvl>
    <w:lvl w:ilvl="3" w:tplc="8558DF72">
      <w:start w:val="1"/>
      <w:numFmt w:val="decimal"/>
      <w:lvlText w:val="%4."/>
      <w:lvlJc w:val="left"/>
      <w:pPr>
        <w:ind w:left="2088" w:hanging="360"/>
      </w:pPr>
    </w:lvl>
    <w:lvl w:ilvl="4" w:tplc="A1CEC55C">
      <w:start w:val="1"/>
      <w:numFmt w:val="lowerLetter"/>
      <w:lvlText w:val="%5."/>
      <w:lvlJc w:val="left"/>
      <w:pPr>
        <w:ind w:left="2808" w:hanging="360"/>
      </w:pPr>
    </w:lvl>
    <w:lvl w:ilvl="5" w:tplc="0CD248F4" w:tentative="1">
      <w:start w:val="1"/>
      <w:numFmt w:val="lowerRoman"/>
      <w:lvlText w:val="%6."/>
      <w:lvlJc w:val="right"/>
      <w:pPr>
        <w:ind w:left="3528" w:hanging="180"/>
      </w:pPr>
    </w:lvl>
    <w:lvl w:ilvl="6" w:tplc="27E4C9D0" w:tentative="1">
      <w:start w:val="1"/>
      <w:numFmt w:val="decimal"/>
      <w:lvlText w:val="%7."/>
      <w:lvlJc w:val="left"/>
      <w:pPr>
        <w:ind w:left="4248" w:hanging="360"/>
      </w:pPr>
    </w:lvl>
    <w:lvl w:ilvl="7" w:tplc="D520D740" w:tentative="1">
      <w:start w:val="1"/>
      <w:numFmt w:val="lowerLetter"/>
      <w:lvlText w:val="%8."/>
      <w:lvlJc w:val="left"/>
      <w:pPr>
        <w:ind w:left="4968" w:hanging="360"/>
      </w:pPr>
    </w:lvl>
    <w:lvl w:ilvl="8" w:tplc="700AB960" w:tentative="1">
      <w:start w:val="1"/>
      <w:numFmt w:val="lowerRoman"/>
      <w:lvlText w:val="%9."/>
      <w:lvlJc w:val="right"/>
      <w:pPr>
        <w:ind w:left="5688" w:hanging="180"/>
      </w:pPr>
    </w:lvl>
  </w:abstractNum>
  <w:abstractNum w:abstractNumId="3" w15:restartNumberingAfterBreak="0">
    <w:nsid w:val="0D300BDB"/>
    <w:multiLevelType w:val="hybridMultilevel"/>
    <w:tmpl w:val="1A9C36C2"/>
    <w:lvl w:ilvl="0" w:tplc="90A6AA44">
      <w:start w:val="1"/>
      <w:numFmt w:val="decimal"/>
      <w:lvlText w:val="%1."/>
      <w:lvlJc w:val="left"/>
      <w:pPr>
        <w:ind w:left="720" w:hanging="360"/>
      </w:pPr>
    </w:lvl>
    <w:lvl w:ilvl="1" w:tplc="E9DEABC2">
      <w:start w:val="1"/>
      <w:numFmt w:val="bullet"/>
      <w:lvlText w:val="-"/>
      <w:lvlJc w:val="left"/>
      <w:pPr>
        <w:ind w:left="1440" w:hanging="360"/>
      </w:pPr>
      <w:rPr>
        <w:rFonts w:ascii="Calibri" w:eastAsiaTheme="minorEastAsia" w:hAnsi="Calibri" w:cs="Calibri" w:hint="default"/>
      </w:rPr>
    </w:lvl>
    <w:lvl w:ilvl="2" w:tplc="85DE1EB0">
      <w:start w:val="1"/>
      <w:numFmt w:val="lowerRoman"/>
      <w:lvlText w:val="%3."/>
      <w:lvlJc w:val="right"/>
      <w:pPr>
        <w:ind w:left="2160" w:hanging="180"/>
      </w:pPr>
    </w:lvl>
    <w:lvl w:ilvl="3" w:tplc="B2F280F2">
      <w:start w:val="1"/>
      <w:numFmt w:val="decimal"/>
      <w:lvlText w:val="%4."/>
      <w:lvlJc w:val="left"/>
      <w:pPr>
        <w:ind w:left="450" w:hanging="360"/>
      </w:pPr>
      <w:rPr>
        <w:rFonts w:asciiTheme="minorHAnsi" w:hAnsiTheme="minorHAnsi" w:cstheme="minorHAnsi" w:hint="default"/>
        <w:sz w:val="22"/>
        <w:szCs w:val="22"/>
      </w:rPr>
    </w:lvl>
    <w:lvl w:ilvl="4" w:tplc="3B64FBC8">
      <w:start w:val="1"/>
      <w:numFmt w:val="lowerLetter"/>
      <w:lvlText w:val="%5."/>
      <w:lvlJc w:val="left"/>
      <w:pPr>
        <w:ind w:left="3600" w:hanging="360"/>
      </w:pPr>
    </w:lvl>
    <w:lvl w:ilvl="5" w:tplc="E9DEABC2">
      <w:start w:val="1"/>
      <w:numFmt w:val="bullet"/>
      <w:lvlText w:val="-"/>
      <w:lvlJc w:val="left"/>
      <w:pPr>
        <w:ind w:left="4500" w:hanging="360"/>
      </w:pPr>
      <w:rPr>
        <w:rFonts w:ascii="Calibri" w:eastAsiaTheme="minorEastAsia" w:hAnsi="Calibri" w:cs="Calibri" w:hint="default"/>
      </w:rPr>
    </w:lvl>
    <w:lvl w:ilvl="6" w:tplc="FF4EEDFC">
      <w:start w:val="40"/>
      <w:numFmt w:val="bullet"/>
      <w:lvlText w:val=""/>
      <w:lvlJc w:val="left"/>
      <w:pPr>
        <w:ind w:left="5040" w:hanging="360"/>
      </w:pPr>
      <w:rPr>
        <w:rFonts w:ascii="Wingdings" w:eastAsia="Times New Roman" w:hAnsi="Wingdings" w:cs="Calibri" w:hint="default"/>
      </w:rPr>
    </w:lvl>
    <w:lvl w:ilvl="7" w:tplc="27F4093C" w:tentative="1">
      <w:start w:val="1"/>
      <w:numFmt w:val="lowerLetter"/>
      <w:lvlText w:val="%8."/>
      <w:lvlJc w:val="left"/>
      <w:pPr>
        <w:ind w:left="5760" w:hanging="360"/>
      </w:pPr>
    </w:lvl>
    <w:lvl w:ilvl="8" w:tplc="BD2AAE9E" w:tentative="1">
      <w:start w:val="1"/>
      <w:numFmt w:val="lowerRoman"/>
      <w:lvlText w:val="%9."/>
      <w:lvlJc w:val="right"/>
      <w:pPr>
        <w:ind w:left="6480" w:hanging="180"/>
      </w:pPr>
    </w:lvl>
  </w:abstractNum>
  <w:abstractNum w:abstractNumId="4" w15:restartNumberingAfterBreak="0">
    <w:nsid w:val="10EA1C57"/>
    <w:multiLevelType w:val="hybridMultilevel"/>
    <w:tmpl w:val="7DACC3A2"/>
    <w:lvl w:ilvl="0" w:tplc="FB0A73A0">
      <w:start w:val="1"/>
      <w:numFmt w:val="decimal"/>
      <w:lvlText w:val="%1."/>
      <w:lvlJc w:val="left"/>
      <w:pPr>
        <w:ind w:left="3" w:hanging="435"/>
      </w:pPr>
      <w:rPr>
        <w:rFonts w:hint="default"/>
      </w:rPr>
    </w:lvl>
    <w:lvl w:ilvl="1" w:tplc="4EBE43AC">
      <w:start w:val="1"/>
      <w:numFmt w:val="lowerLetter"/>
      <w:lvlText w:val="%2."/>
      <w:lvlJc w:val="left"/>
      <w:pPr>
        <w:ind w:left="648" w:hanging="360"/>
      </w:pPr>
    </w:lvl>
    <w:lvl w:ilvl="2" w:tplc="A872C760">
      <w:start w:val="1"/>
      <w:numFmt w:val="lowerRoman"/>
      <w:lvlText w:val="%3."/>
      <w:lvlJc w:val="right"/>
      <w:pPr>
        <w:ind w:left="1368" w:hanging="180"/>
      </w:pPr>
    </w:lvl>
    <w:lvl w:ilvl="3" w:tplc="56B23F32">
      <w:start w:val="1"/>
      <w:numFmt w:val="decimal"/>
      <w:lvlText w:val="%4."/>
      <w:lvlJc w:val="left"/>
      <w:pPr>
        <w:ind w:left="2088" w:hanging="360"/>
      </w:pPr>
    </w:lvl>
    <w:lvl w:ilvl="4" w:tplc="B6F42010">
      <w:start w:val="1"/>
      <w:numFmt w:val="lowerLetter"/>
      <w:lvlText w:val="%5."/>
      <w:lvlJc w:val="left"/>
      <w:pPr>
        <w:ind w:left="2808" w:hanging="360"/>
      </w:pPr>
    </w:lvl>
    <w:lvl w:ilvl="5" w:tplc="59F0C1F4" w:tentative="1">
      <w:start w:val="1"/>
      <w:numFmt w:val="lowerRoman"/>
      <w:lvlText w:val="%6."/>
      <w:lvlJc w:val="right"/>
      <w:pPr>
        <w:ind w:left="3528" w:hanging="180"/>
      </w:pPr>
    </w:lvl>
    <w:lvl w:ilvl="6" w:tplc="64AC866A" w:tentative="1">
      <w:start w:val="1"/>
      <w:numFmt w:val="decimal"/>
      <w:lvlText w:val="%7."/>
      <w:lvlJc w:val="left"/>
      <w:pPr>
        <w:ind w:left="4248" w:hanging="360"/>
      </w:pPr>
    </w:lvl>
    <w:lvl w:ilvl="7" w:tplc="F0E4FE8C" w:tentative="1">
      <w:start w:val="1"/>
      <w:numFmt w:val="lowerLetter"/>
      <w:lvlText w:val="%8."/>
      <w:lvlJc w:val="left"/>
      <w:pPr>
        <w:ind w:left="4968" w:hanging="360"/>
      </w:pPr>
    </w:lvl>
    <w:lvl w:ilvl="8" w:tplc="C84C8C00" w:tentative="1">
      <w:start w:val="1"/>
      <w:numFmt w:val="lowerRoman"/>
      <w:lvlText w:val="%9."/>
      <w:lvlJc w:val="right"/>
      <w:pPr>
        <w:ind w:left="5688" w:hanging="180"/>
      </w:pPr>
    </w:lvl>
  </w:abstractNum>
  <w:abstractNum w:abstractNumId="5" w15:restartNumberingAfterBreak="0">
    <w:nsid w:val="202B4A3A"/>
    <w:multiLevelType w:val="hybridMultilevel"/>
    <w:tmpl w:val="4E4C4138"/>
    <w:lvl w:ilvl="0" w:tplc="D08886F6">
      <w:start w:val="1"/>
      <w:numFmt w:val="decimal"/>
      <w:lvlText w:val="%1."/>
      <w:lvlJc w:val="left"/>
      <w:pPr>
        <w:ind w:left="3" w:hanging="435"/>
      </w:pPr>
      <w:rPr>
        <w:rFonts w:hint="default"/>
      </w:rPr>
    </w:lvl>
    <w:lvl w:ilvl="1" w:tplc="02668160">
      <w:start w:val="1"/>
      <w:numFmt w:val="lowerLetter"/>
      <w:lvlText w:val="%2."/>
      <w:lvlJc w:val="left"/>
      <w:pPr>
        <w:ind w:left="648" w:hanging="360"/>
      </w:pPr>
    </w:lvl>
    <w:lvl w:ilvl="2" w:tplc="B86C7834">
      <w:start w:val="1"/>
      <w:numFmt w:val="lowerRoman"/>
      <w:lvlText w:val="%3."/>
      <w:lvlJc w:val="right"/>
      <w:pPr>
        <w:ind w:left="1368" w:hanging="180"/>
      </w:pPr>
    </w:lvl>
    <w:lvl w:ilvl="3" w:tplc="EEC48C74">
      <w:start w:val="1"/>
      <w:numFmt w:val="decimal"/>
      <w:lvlText w:val="%4."/>
      <w:lvlJc w:val="left"/>
      <w:pPr>
        <w:ind w:left="2088" w:hanging="360"/>
      </w:pPr>
    </w:lvl>
    <w:lvl w:ilvl="4" w:tplc="E7B00470">
      <w:start w:val="1"/>
      <w:numFmt w:val="lowerLetter"/>
      <w:lvlText w:val="%5."/>
      <w:lvlJc w:val="left"/>
      <w:pPr>
        <w:ind w:left="2808" w:hanging="360"/>
      </w:pPr>
    </w:lvl>
    <w:lvl w:ilvl="5" w:tplc="A2AC0826" w:tentative="1">
      <w:start w:val="1"/>
      <w:numFmt w:val="lowerRoman"/>
      <w:lvlText w:val="%6."/>
      <w:lvlJc w:val="right"/>
      <w:pPr>
        <w:ind w:left="3528" w:hanging="180"/>
      </w:pPr>
    </w:lvl>
    <w:lvl w:ilvl="6" w:tplc="EC7CF7F4" w:tentative="1">
      <w:start w:val="1"/>
      <w:numFmt w:val="decimal"/>
      <w:lvlText w:val="%7."/>
      <w:lvlJc w:val="left"/>
      <w:pPr>
        <w:ind w:left="4248" w:hanging="360"/>
      </w:pPr>
    </w:lvl>
    <w:lvl w:ilvl="7" w:tplc="E25809AC" w:tentative="1">
      <w:start w:val="1"/>
      <w:numFmt w:val="lowerLetter"/>
      <w:lvlText w:val="%8."/>
      <w:lvlJc w:val="left"/>
      <w:pPr>
        <w:ind w:left="4968" w:hanging="360"/>
      </w:pPr>
    </w:lvl>
    <w:lvl w:ilvl="8" w:tplc="482883BE" w:tentative="1">
      <w:start w:val="1"/>
      <w:numFmt w:val="lowerRoman"/>
      <w:lvlText w:val="%9."/>
      <w:lvlJc w:val="right"/>
      <w:pPr>
        <w:ind w:left="5688" w:hanging="180"/>
      </w:pPr>
    </w:lvl>
  </w:abstractNum>
  <w:abstractNum w:abstractNumId="6" w15:restartNumberingAfterBreak="0">
    <w:nsid w:val="29607B83"/>
    <w:multiLevelType w:val="hybridMultilevel"/>
    <w:tmpl w:val="3812556E"/>
    <w:lvl w:ilvl="0" w:tplc="03A8AD02">
      <w:start w:val="1"/>
      <w:numFmt w:val="bullet"/>
      <w:lvlText w:val="-"/>
      <w:lvlJc w:val="left"/>
      <w:pPr>
        <w:ind w:left="360" w:hanging="360"/>
      </w:pPr>
      <w:rPr>
        <w:rFonts w:ascii="Calibri" w:eastAsiaTheme="minorEastAsia" w:hAnsi="Calibri" w:cs="Calibri" w:hint="default"/>
      </w:rPr>
    </w:lvl>
    <w:lvl w:ilvl="1" w:tplc="CC324588" w:tentative="1">
      <w:start w:val="1"/>
      <w:numFmt w:val="bullet"/>
      <w:lvlText w:val="o"/>
      <w:lvlJc w:val="left"/>
      <w:pPr>
        <w:ind w:left="1080" w:hanging="360"/>
      </w:pPr>
      <w:rPr>
        <w:rFonts w:ascii="Courier New" w:hAnsi="Courier New" w:cs="Courier New" w:hint="default"/>
      </w:rPr>
    </w:lvl>
    <w:lvl w:ilvl="2" w:tplc="C15ED1E0" w:tentative="1">
      <w:start w:val="1"/>
      <w:numFmt w:val="bullet"/>
      <w:lvlText w:val=""/>
      <w:lvlJc w:val="left"/>
      <w:pPr>
        <w:ind w:left="1800" w:hanging="360"/>
      </w:pPr>
      <w:rPr>
        <w:rFonts w:ascii="Wingdings" w:hAnsi="Wingdings" w:hint="default"/>
      </w:rPr>
    </w:lvl>
    <w:lvl w:ilvl="3" w:tplc="15B0424C" w:tentative="1">
      <w:start w:val="1"/>
      <w:numFmt w:val="bullet"/>
      <w:lvlText w:val=""/>
      <w:lvlJc w:val="left"/>
      <w:pPr>
        <w:ind w:left="2520" w:hanging="360"/>
      </w:pPr>
      <w:rPr>
        <w:rFonts w:ascii="Symbol" w:hAnsi="Symbol" w:hint="default"/>
      </w:rPr>
    </w:lvl>
    <w:lvl w:ilvl="4" w:tplc="C77A2C50" w:tentative="1">
      <w:start w:val="1"/>
      <w:numFmt w:val="bullet"/>
      <w:lvlText w:val="o"/>
      <w:lvlJc w:val="left"/>
      <w:pPr>
        <w:ind w:left="3240" w:hanging="360"/>
      </w:pPr>
      <w:rPr>
        <w:rFonts w:ascii="Courier New" w:hAnsi="Courier New" w:cs="Courier New" w:hint="default"/>
      </w:rPr>
    </w:lvl>
    <w:lvl w:ilvl="5" w:tplc="5AC232D8" w:tentative="1">
      <w:start w:val="1"/>
      <w:numFmt w:val="bullet"/>
      <w:lvlText w:val=""/>
      <w:lvlJc w:val="left"/>
      <w:pPr>
        <w:ind w:left="3960" w:hanging="360"/>
      </w:pPr>
      <w:rPr>
        <w:rFonts w:ascii="Wingdings" w:hAnsi="Wingdings" w:hint="default"/>
      </w:rPr>
    </w:lvl>
    <w:lvl w:ilvl="6" w:tplc="F1D4EF06" w:tentative="1">
      <w:start w:val="1"/>
      <w:numFmt w:val="bullet"/>
      <w:lvlText w:val=""/>
      <w:lvlJc w:val="left"/>
      <w:pPr>
        <w:ind w:left="4680" w:hanging="360"/>
      </w:pPr>
      <w:rPr>
        <w:rFonts w:ascii="Symbol" w:hAnsi="Symbol" w:hint="default"/>
      </w:rPr>
    </w:lvl>
    <w:lvl w:ilvl="7" w:tplc="48DA58EA" w:tentative="1">
      <w:start w:val="1"/>
      <w:numFmt w:val="bullet"/>
      <w:lvlText w:val="o"/>
      <w:lvlJc w:val="left"/>
      <w:pPr>
        <w:ind w:left="5400" w:hanging="360"/>
      </w:pPr>
      <w:rPr>
        <w:rFonts w:ascii="Courier New" w:hAnsi="Courier New" w:cs="Courier New" w:hint="default"/>
      </w:rPr>
    </w:lvl>
    <w:lvl w:ilvl="8" w:tplc="8E90D032" w:tentative="1">
      <w:start w:val="1"/>
      <w:numFmt w:val="bullet"/>
      <w:lvlText w:val=""/>
      <w:lvlJc w:val="left"/>
      <w:pPr>
        <w:ind w:left="6120" w:hanging="360"/>
      </w:pPr>
      <w:rPr>
        <w:rFonts w:ascii="Wingdings" w:hAnsi="Wingdings" w:hint="default"/>
      </w:rPr>
    </w:lvl>
  </w:abstractNum>
  <w:abstractNum w:abstractNumId="7" w15:restartNumberingAfterBreak="0">
    <w:nsid w:val="2E7C100D"/>
    <w:multiLevelType w:val="hybridMultilevel"/>
    <w:tmpl w:val="E87C90DC"/>
    <w:lvl w:ilvl="0" w:tplc="E9DEABC2">
      <w:start w:val="1"/>
      <w:numFmt w:val="bullet"/>
      <w:lvlText w:val="-"/>
      <w:lvlJc w:val="left"/>
      <w:pPr>
        <w:ind w:left="288" w:hanging="360"/>
      </w:pPr>
      <w:rPr>
        <w:rFonts w:ascii="Calibri" w:eastAsiaTheme="minorEastAsia" w:hAnsi="Calibri" w:cs="Calibri" w:hint="default"/>
      </w:rPr>
    </w:lvl>
    <w:lvl w:ilvl="1" w:tplc="04090003" w:tentative="1">
      <w:start w:val="1"/>
      <w:numFmt w:val="bullet"/>
      <w:lvlText w:val="o"/>
      <w:lvlJc w:val="left"/>
      <w:pPr>
        <w:ind w:left="1008" w:hanging="360"/>
      </w:pPr>
      <w:rPr>
        <w:rFonts w:ascii="Courier New" w:hAnsi="Courier New" w:cs="Courier New" w:hint="default"/>
      </w:rPr>
    </w:lvl>
    <w:lvl w:ilvl="2" w:tplc="04090005" w:tentative="1">
      <w:start w:val="1"/>
      <w:numFmt w:val="bullet"/>
      <w:lvlText w:val=""/>
      <w:lvlJc w:val="left"/>
      <w:pPr>
        <w:ind w:left="1728" w:hanging="360"/>
      </w:pPr>
      <w:rPr>
        <w:rFonts w:ascii="Wingdings" w:hAnsi="Wingdings" w:hint="default"/>
      </w:rPr>
    </w:lvl>
    <w:lvl w:ilvl="3" w:tplc="04090001" w:tentative="1">
      <w:start w:val="1"/>
      <w:numFmt w:val="bullet"/>
      <w:lvlText w:val=""/>
      <w:lvlJc w:val="left"/>
      <w:pPr>
        <w:ind w:left="2448" w:hanging="360"/>
      </w:pPr>
      <w:rPr>
        <w:rFonts w:ascii="Symbol" w:hAnsi="Symbol" w:hint="default"/>
      </w:rPr>
    </w:lvl>
    <w:lvl w:ilvl="4" w:tplc="04090003" w:tentative="1">
      <w:start w:val="1"/>
      <w:numFmt w:val="bullet"/>
      <w:lvlText w:val="o"/>
      <w:lvlJc w:val="left"/>
      <w:pPr>
        <w:ind w:left="3168" w:hanging="360"/>
      </w:pPr>
      <w:rPr>
        <w:rFonts w:ascii="Courier New" w:hAnsi="Courier New" w:cs="Courier New" w:hint="default"/>
      </w:rPr>
    </w:lvl>
    <w:lvl w:ilvl="5" w:tplc="04090005" w:tentative="1">
      <w:start w:val="1"/>
      <w:numFmt w:val="bullet"/>
      <w:lvlText w:val=""/>
      <w:lvlJc w:val="left"/>
      <w:pPr>
        <w:ind w:left="3888" w:hanging="360"/>
      </w:pPr>
      <w:rPr>
        <w:rFonts w:ascii="Wingdings" w:hAnsi="Wingdings" w:hint="default"/>
      </w:rPr>
    </w:lvl>
    <w:lvl w:ilvl="6" w:tplc="04090001" w:tentative="1">
      <w:start w:val="1"/>
      <w:numFmt w:val="bullet"/>
      <w:lvlText w:val=""/>
      <w:lvlJc w:val="left"/>
      <w:pPr>
        <w:ind w:left="4608" w:hanging="360"/>
      </w:pPr>
      <w:rPr>
        <w:rFonts w:ascii="Symbol" w:hAnsi="Symbol" w:hint="default"/>
      </w:rPr>
    </w:lvl>
    <w:lvl w:ilvl="7" w:tplc="04090003" w:tentative="1">
      <w:start w:val="1"/>
      <w:numFmt w:val="bullet"/>
      <w:lvlText w:val="o"/>
      <w:lvlJc w:val="left"/>
      <w:pPr>
        <w:ind w:left="5328" w:hanging="360"/>
      </w:pPr>
      <w:rPr>
        <w:rFonts w:ascii="Courier New" w:hAnsi="Courier New" w:cs="Courier New" w:hint="default"/>
      </w:rPr>
    </w:lvl>
    <w:lvl w:ilvl="8" w:tplc="04090005" w:tentative="1">
      <w:start w:val="1"/>
      <w:numFmt w:val="bullet"/>
      <w:lvlText w:val=""/>
      <w:lvlJc w:val="left"/>
      <w:pPr>
        <w:ind w:left="6048" w:hanging="360"/>
      </w:pPr>
      <w:rPr>
        <w:rFonts w:ascii="Wingdings" w:hAnsi="Wingdings" w:hint="default"/>
      </w:rPr>
    </w:lvl>
  </w:abstractNum>
  <w:abstractNum w:abstractNumId="8" w15:restartNumberingAfterBreak="0">
    <w:nsid w:val="2ED309D9"/>
    <w:multiLevelType w:val="hybridMultilevel"/>
    <w:tmpl w:val="247AD7F2"/>
    <w:lvl w:ilvl="0" w:tplc="7688CD0C">
      <w:start w:val="1"/>
      <w:numFmt w:val="decimal"/>
      <w:lvlText w:val="%1."/>
      <w:lvlJc w:val="left"/>
      <w:pPr>
        <w:ind w:left="720" w:hanging="360"/>
      </w:pPr>
    </w:lvl>
    <w:lvl w:ilvl="1" w:tplc="FA4843FA">
      <w:start w:val="1"/>
      <w:numFmt w:val="lowerLetter"/>
      <w:lvlText w:val="%2."/>
      <w:lvlJc w:val="left"/>
      <w:pPr>
        <w:ind w:left="1440" w:hanging="360"/>
      </w:pPr>
    </w:lvl>
    <w:lvl w:ilvl="2" w:tplc="582263AC">
      <w:start w:val="1"/>
      <w:numFmt w:val="lowerRoman"/>
      <w:lvlText w:val="%3."/>
      <w:lvlJc w:val="right"/>
      <w:pPr>
        <w:ind w:left="2160" w:hanging="180"/>
      </w:pPr>
    </w:lvl>
    <w:lvl w:ilvl="3" w:tplc="4FCCB038">
      <w:start w:val="1"/>
      <w:numFmt w:val="decimal"/>
      <w:lvlText w:val="%4."/>
      <w:lvlJc w:val="left"/>
      <w:pPr>
        <w:ind w:left="450" w:hanging="360"/>
      </w:pPr>
      <w:rPr>
        <w:rFonts w:asciiTheme="minorHAnsi" w:hAnsiTheme="minorHAnsi" w:cstheme="minorHAnsi" w:hint="default"/>
        <w:b w:val="0"/>
        <w:color w:val="auto"/>
        <w:sz w:val="22"/>
        <w:szCs w:val="22"/>
      </w:rPr>
    </w:lvl>
    <w:lvl w:ilvl="4" w:tplc="D6FAC238">
      <w:start w:val="1"/>
      <w:numFmt w:val="lowerLetter"/>
      <w:lvlText w:val="%5."/>
      <w:lvlJc w:val="left"/>
      <w:pPr>
        <w:ind w:left="1080" w:hanging="360"/>
      </w:pPr>
    </w:lvl>
    <w:lvl w:ilvl="5" w:tplc="64EABA40">
      <w:start w:val="1"/>
      <w:numFmt w:val="bullet"/>
      <w:lvlText w:val="-"/>
      <w:lvlJc w:val="left"/>
      <w:pPr>
        <w:ind w:left="4500" w:hanging="360"/>
      </w:pPr>
      <w:rPr>
        <w:rFonts w:ascii="Calibri" w:eastAsiaTheme="minorEastAsia" w:hAnsi="Calibri" w:cs="Calibri" w:hint="default"/>
      </w:rPr>
    </w:lvl>
    <w:lvl w:ilvl="6" w:tplc="B860DDBE" w:tentative="1">
      <w:start w:val="1"/>
      <w:numFmt w:val="decimal"/>
      <w:lvlText w:val="%7."/>
      <w:lvlJc w:val="left"/>
      <w:pPr>
        <w:ind w:left="5040" w:hanging="360"/>
      </w:pPr>
    </w:lvl>
    <w:lvl w:ilvl="7" w:tplc="54244E0E" w:tentative="1">
      <w:start w:val="1"/>
      <w:numFmt w:val="lowerLetter"/>
      <w:lvlText w:val="%8."/>
      <w:lvlJc w:val="left"/>
      <w:pPr>
        <w:ind w:left="5760" w:hanging="360"/>
      </w:pPr>
    </w:lvl>
    <w:lvl w:ilvl="8" w:tplc="07D4A67C" w:tentative="1">
      <w:start w:val="1"/>
      <w:numFmt w:val="lowerRoman"/>
      <w:lvlText w:val="%9."/>
      <w:lvlJc w:val="right"/>
      <w:pPr>
        <w:ind w:left="6480" w:hanging="180"/>
      </w:pPr>
    </w:lvl>
  </w:abstractNum>
  <w:abstractNum w:abstractNumId="9" w15:restartNumberingAfterBreak="0">
    <w:nsid w:val="30207A17"/>
    <w:multiLevelType w:val="hybridMultilevel"/>
    <w:tmpl w:val="335CA2B6"/>
    <w:lvl w:ilvl="0" w:tplc="B4D0279A">
      <w:numFmt w:val="bullet"/>
      <w:lvlText w:val="-"/>
      <w:lvlJc w:val="left"/>
      <w:pPr>
        <w:ind w:left="1080" w:hanging="360"/>
      </w:pPr>
      <w:rPr>
        <w:rFonts w:ascii="Times New Roman" w:eastAsia="Times New Roman" w:hAnsi="Times New Roman" w:cs="Times New Roman" w:hint="default"/>
        <w:b w:val="0"/>
        <w:color w:val="auto"/>
      </w:rPr>
    </w:lvl>
    <w:lvl w:ilvl="1" w:tplc="88023FE8">
      <w:start w:val="1"/>
      <w:numFmt w:val="lowerLetter"/>
      <w:lvlText w:val="%2."/>
      <w:lvlJc w:val="left"/>
      <w:pPr>
        <w:ind w:left="1800" w:hanging="360"/>
      </w:pPr>
    </w:lvl>
    <w:lvl w:ilvl="2" w:tplc="F6F25A56" w:tentative="1">
      <w:start w:val="1"/>
      <w:numFmt w:val="lowerRoman"/>
      <w:lvlText w:val="%3."/>
      <w:lvlJc w:val="right"/>
      <w:pPr>
        <w:ind w:left="2520" w:hanging="180"/>
      </w:pPr>
    </w:lvl>
    <w:lvl w:ilvl="3" w:tplc="F954C7EC" w:tentative="1">
      <w:start w:val="1"/>
      <w:numFmt w:val="decimal"/>
      <w:lvlText w:val="%4."/>
      <w:lvlJc w:val="left"/>
      <w:pPr>
        <w:ind w:left="3240" w:hanging="360"/>
      </w:pPr>
    </w:lvl>
    <w:lvl w:ilvl="4" w:tplc="48F0B66A" w:tentative="1">
      <w:start w:val="1"/>
      <w:numFmt w:val="lowerLetter"/>
      <w:lvlText w:val="%5."/>
      <w:lvlJc w:val="left"/>
      <w:pPr>
        <w:ind w:left="3960" w:hanging="360"/>
      </w:pPr>
    </w:lvl>
    <w:lvl w:ilvl="5" w:tplc="918E8078" w:tentative="1">
      <w:start w:val="1"/>
      <w:numFmt w:val="lowerRoman"/>
      <w:lvlText w:val="%6."/>
      <w:lvlJc w:val="right"/>
      <w:pPr>
        <w:ind w:left="4680" w:hanging="180"/>
      </w:pPr>
    </w:lvl>
    <w:lvl w:ilvl="6" w:tplc="E162EE60" w:tentative="1">
      <w:start w:val="1"/>
      <w:numFmt w:val="decimal"/>
      <w:lvlText w:val="%7."/>
      <w:lvlJc w:val="left"/>
      <w:pPr>
        <w:ind w:left="5400" w:hanging="360"/>
      </w:pPr>
    </w:lvl>
    <w:lvl w:ilvl="7" w:tplc="7D128CCC" w:tentative="1">
      <w:start w:val="1"/>
      <w:numFmt w:val="lowerLetter"/>
      <w:lvlText w:val="%8."/>
      <w:lvlJc w:val="left"/>
      <w:pPr>
        <w:ind w:left="6120" w:hanging="360"/>
      </w:pPr>
    </w:lvl>
    <w:lvl w:ilvl="8" w:tplc="F53EF8CA" w:tentative="1">
      <w:start w:val="1"/>
      <w:numFmt w:val="lowerRoman"/>
      <w:lvlText w:val="%9."/>
      <w:lvlJc w:val="right"/>
      <w:pPr>
        <w:ind w:left="6840" w:hanging="180"/>
      </w:pPr>
    </w:lvl>
  </w:abstractNum>
  <w:abstractNum w:abstractNumId="10" w15:restartNumberingAfterBreak="0">
    <w:nsid w:val="33370DB2"/>
    <w:multiLevelType w:val="hybridMultilevel"/>
    <w:tmpl w:val="91F295E0"/>
    <w:lvl w:ilvl="0" w:tplc="C76CFB78">
      <w:start w:val="1"/>
      <w:numFmt w:val="decimal"/>
      <w:pStyle w:val="Body"/>
      <w:lvlText w:val="%1."/>
      <w:lvlJc w:val="left"/>
      <w:pPr>
        <w:ind w:left="1080" w:hanging="360"/>
      </w:pPr>
      <w:rPr>
        <w:b w:val="0"/>
        <w:color w:val="auto"/>
      </w:rPr>
    </w:lvl>
    <w:lvl w:ilvl="1" w:tplc="C7E090A6">
      <w:start w:val="1"/>
      <w:numFmt w:val="lowerLetter"/>
      <w:lvlText w:val="%2."/>
      <w:lvlJc w:val="left"/>
      <w:pPr>
        <w:ind w:left="1800" w:hanging="360"/>
      </w:pPr>
    </w:lvl>
    <w:lvl w:ilvl="2" w:tplc="D40EB896" w:tentative="1">
      <w:start w:val="1"/>
      <w:numFmt w:val="lowerRoman"/>
      <w:lvlText w:val="%3."/>
      <w:lvlJc w:val="right"/>
      <w:pPr>
        <w:ind w:left="2520" w:hanging="180"/>
      </w:pPr>
    </w:lvl>
    <w:lvl w:ilvl="3" w:tplc="044C51BE" w:tentative="1">
      <w:start w:val="1"/>
      <w:numFmt w:val="decimal"/>
      <w:lvlText w:val="%4."/>
      <w:lvlJc w:val="left"/>
      <w:pPr>
        <w:ind w:left="3240" w:hanging="360"/>
      </w:pPr>
    </w:lvl>
    <w:lvl w:ilvl="4" w:tplc="6C7C6DC8" w:tentative="1">
      <w:start w:val="1"/>
      <w:numFmt w:val="lowerLetter"/>
      <w:lvlText w:val="%5."/>
      <w:lvlJc w:val="left"/>
      <w:pPr>
        <w:ind w:left="3960" w:hanging="360"/>
      </w:pPr>
    </w:lvl>
    <w:lvl w:ilvl="5" w:tplc="0F30FF66" w:tentative="1">
      <w:start w:val="1"/>
      <w:numFmt w:val="lowerRoman"/>
      <w:lvlText w:val="%6."/>
      <w:lvlJc w:val="right"/>
      <w:pPr>
        <w:ind w:left="4680" w:hanging="180"/>
      </w:pPr>
    </w:lvl>
    <w:lvl w:ilvl="6" w:tplc="6F84B112" w:tentative="1">
      <w:start w:val="1"/>
      <w:numFmt w:val="decimal"/>
      <w:lvlText w:val="%7."/>
      <w:lvlJc w:val="left"/>
      <w:pPr>
        <w:ind w:left="5400" w:hanging="360"/>
      </w:pPr>
    </w:lvl>
    <w:lvl w:ilvl="7" w:tplc="A0DA4B9A" w:tentative="1">
      <w:start w:val="1"/>
      <w:numFmt w:val="lowerLetter"/>
      <w:lvlText w:val="%8."/>
      <w:lvlJc w:val="left"/>
      <w:pPr>
        <w:ind w:left="6120" w:hanging="360"/>
      </w:pPr>
    </w:lvl>
    <w:lvl w:ilvl="8" w:tplc="D46CB430" w:tentative="1">
      <w:start w:val="1"/>
      <w:numFmt w:val="lowerRoman"/>
      <w:lvlText w:val="%9."/>
      <w:lvlJc w:val="right"/>
      <w:pPr>
        <w:ind w:left="6840" w:hanging="180"/>
      </w:pPr>
    </w:lvl>
  </w:abstractNum>
  <w:abstractNum w:abstractNumId="11" w15:restartNumberingAfterBreak="0">
    <w:nsid w:val="36371450"/>
    <w:multiLevelType w:val="hybridMultilevel"/>
    <w:tmpl w:val="90AA4D92"/>
    <w:lvl w:ilvl="0" w:tplc="2B4435D6">
      <w:start w:val="1"/>
      <w:numFmt w:val="upperLetter"/>
      <w:lvlText w:val="%1."/>
      <w:lvlJc w:val="left"/>
      <w:pPr>
        <w:ind w:left="410" w:hanging="360"/>
      </w:pPr>
      <w:rPr>
        <w:rFonts w:hint="default"/>
        <w:sz w:val="20"/>
      </w:rPr>
    </w:lvl>
    <w:lvl w:ilvl="1" w:tplc="9F3E8BB6" w:tentative="1">
      <w:start w:val="1"/>
      <w:numFmt w:val="lowerLetter"/>
      <w:lvlText w:val="%2."/>
      <w:lvlJc w:val="left"/>
      <w:pPr>
        <w:ind w:left="1130" w:hanging="360"/>
      </w:pPr>
    </w:lvl>
    <w:lvl w:ilvl="2" w:tplc="6980F2F0" w:tentative="1">
      <w:start w:val="1"/>
      <w:numFmt w:val="lowerRoman"/>
      <w:lvlText w:val="%3."/>
      <w:lvlJc w:val="right"/>
      <w:pPr>
        <w:ind w:left="1850" w:hanging="180"/>
      </w:pPr>
    </w:lvl>
    <w:lvl w:ilvl="3" w:tplc="9B1CF4D6" w:tentative="1">
      <w:start w:val="1"/>
      <w:numFmt w:val="decimal"/>
      <w:lvlText w:val="%4."/>
      <w:lvlJc w:val="left"/>
      <w:pPr>
        <w:ind w:left="2570" w:hanging="360"/>
      </w:pPr>
    </w:lvl>
    <w:lvl w:ilvl="4" w:tplc="7C5EA664" w:tentative="1">
      <w:start w:val="1"/>
      <w:numFmt w:val="lowerLetter"/>
      <w:lvlText w:val="%5."/>
      <w:lvlJc w:val="left"/>
      <w:pPr>
        <w:ind w:left="3290" w:hanging="360"/>
      </w:pPr>
    </w:lvl>
    <w:lvl w:ilvl="5" w:tplc="BD48E99A" w:tentative="1">
      <w:start w:val="1"/>
      <w:numFmt w:val="lowerRoman"/>
      <w:lvlText w:val="%6."/>
      <w:lvlJc w:val="right"/>
      <w:pPr>
        <w:ind w:left="4010" w:hanging="180"/>
      </w:pPr>
    </w:lvl>
    <w:lvl w:ilvl="6" w:tplc="3CC0E032" w:tentative="1">
      <w:start w:val="1"/>
      <w:numFmt w:val="decimal"/>
      <w:lvlText w:val="%7."/>
      <w:lvlJc w:val="left"/>
      <w:pPr>
        <w:ind w:left="4730" w:hanging="360"/>
      </w:pPr>
    </w:lvl>
    <w:lvl w:ilvl="7" w:tplc="95F8CD6C" w:tentative="1">
      <w:start w:val="1"/>
      <w:numFmt w:val="lowerLetter"/>
      <w:lvlText w:val="%8."/>
      <w:lvlJc w:val="left"/>
      <w:pPr>
        <w:ind w:left="5450" w:hanging="360"/>
      </w:pPr>
    </w:lvl>
    <w:lvl w:ilvl="8" w:tplc="2ED85EF0" w:tentative="1">
      <w:start w:val="1"/>
      <w:numFmt w:val="lowerRoman"/>
      <w:lvlText w:val="%9."/>
      <w:lvlJc w:val="right"/>
      <w:pPr>
        <w:ind w:left="6170" w:hanging="180"/>
      </w:pPr>
    </w:lvl>
  </w:abstractNum>
  <w:abstractNum w:abstractNumId="12" w15:restartNumberingAfterBreak="0">
    <w:nsid w:val="46026DC3"/>
    <w:multiLevelType w:val="hybridMultilevel"/>
    <w:tmpl w:val="A24A9FF2"/>
    <w:lvl w:ilvl="0" w:tplc="38A801D6">
      <w:start w:val="1"/>
      <w:numFmt w:val="decimal"/>
      <w:lvlText w:val="%1."/>
      <w:lvlJc w:val="left"/>
      <w:pPr>
        <w:ind w:left="3" w:hanging="435"/>
      </w:pPr>
      <w:rPr>
        <w:rFonts w:hint="default"/>
      </w:rPr>
    </w:lvl>
    <w:lvl w:ilvl="1" w:tplc="04090019">
      <w:start w:val="1"/>
      <w:numFmt w:val="lowerLetter"/>
      <w:lvlText w:val="%2."/>
      <w:lvlJc w:val="left"/>
      <w:pPr>
        <w:ind w:left="648" w:hanging="360"/>
      </w:pPr>
    </w:lvl>
    <w:lvl w:ilvl="2" w:tplc="E822F340">
      <w:start w:val="1"/>
      <w:numFmt w:val="lowerRoman"/>
      <w:lvlText w:val="%3."/>
      <w:lvlJc w:val="right"/>
      <w:pPr>
        <w:ind w:left="1368" w:hanging="180"/>
      </w:pPr>
    </w:lvl>
    <w:lvl w:ilvl="3" w:tplc="92DC8FDA">
      <w:start w:val="1"/>
      <w:numFmt w:val="decimal"/>
      <w:lvlText w:val="%4."/>
      <w:lvlJc w:val="left"/>
      <w:pPr>
        <w:ind w:left="2088" w:hanging="360"/>
      </w:pPr>
    </w:lvl>
    <w:lvl w:ilvl="4" w:tplc="1524507E">
      <w:start w:val="1"/>
      <w:numFmt w:val="lowerLetter"/>
      <w:lvlText w:val="%5."/>
      <w:lvlJc w:val="left"/>
      <w:pPr>
        <w:ind w:left="2808" w:hanging="360"/>
      </w:pPr>
    </w:lvl>
    <w:lvl w:ilvl="5" w:tplc="62EC89A4" w:tentative="1">
      <w:start w:val="1"/>
      <w:numFmt w:val="lowerRoman"/>
      <w:lvlText w:val="%6."/>
      <w:lvlJc w:val="right"/>
      <w:pPr>
        <w:ind w:left="3528" w:hanging="180"/>
      </w:pPr>
    </w:lvl>
    <w:lvl w:ilvl="6" w:tplc="BCB4FA90" w:tentative="1">
      <w:start w:val="1"/>
      <w:numFmt w:val="decimal"/>
      <w:lvlText w:val="%7."/>
      <w:lvlJc w:val="left"/>
      <w:pPr>
        <w:ind w:left="4248" w:hanging="360"/>
      </w:pPr>
    </w:lvl>
    <w:lvl w:ilvl="7" w:tplc="25CE95EA" w:tentative="1">
      <w:start w:val="1"/>
      <w:numFmt w:val="lowerLetter"/>
      <w:lvlText w:val="%8."/>
      <w:lvlJc w:val="left"/>
      <w:pPr>
        <w:ind w:left="4968" w:hanging="360"/>
      </w:pPr>
    </w:lvl>
    <w:lvl w:ilvl="8" w:tplc="DD1E89A2" w:tentative="1">
      <w:start w:val="1"/>
      <w:numFmt w:val="lowerRoman"/>
      <w:lvlText w:val="%9."/>
      <w:lvlJc w:val="right"/>
      <w:pPr>
        <w:ind w:left="5688" w:hanging="180"/>
      </w:pPr>
    </w:lvl>
  </w:abstractNum>
  <w:abstractNum w:abstractNumId="13" w15:restartNumberingAfterBreak="0">
    <w:nsid w:val="47676C7F"/>
    <w:multiLevelType w:val="hybridMultilevel"/>
    <w:tmpl w:val="3BE056DE"/>
    <w:lvl w:ilvl="0" w:tplc="E9DEABC2">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2E6D9F"/>
    <w:multiLevelType w:val="hybridMultilevel"/>
    <w:tmpl w:val="F7BEFFD2"/>
    <w:lvl w:ilvl="0" w:tplc="D08886F6">
      <w:start w:val="1"/>
      <w:numFmt w:val="decimal"/>
      <w:lvlText w:val="%1."/>
      <w:lvlJc w:val="left"/>
      <w:pPr>
        <w:ind w:left="3" w:hanging="435"/>
      </w:pPr>
      <w:rPr>
        <w:rFonts w:hint="default"/>
      </w:rPr>
    </w:lvl>
    <w:lvl w:ilvl="1" w:tplc="02668160">
      <w:start w:val="1"/>
      <w:numFmt w:val="lowerLetter"/>
      <w:lvlText w:val="%2."/>
      <w:lvlJc w:val="left"/>
      <w:pPr>
        <w:ind w:left="648" w:hanging="360"/>
      </w:pPr>
    </w:lvl>
    <w:lvl w:ilvl="2" w:tplc="B86C7834">
      <w:start w:val="1"/>
      <w:numFmt w:val="lowerRoman"/>
      <w:lvlText w:val="%3."/>
      <w:lvlJc w:val="right"/>
      <w:pPr>
        <w:ind w:left="1368" w:hanging="180"/>
      </w:pPr>
    </w:lvl>
    <w:lvl w:ilvl="3" w:tplc="EEC48C74">
      <w:start w:val="1"/>
      <w:numFmt w:val="decimal"/>
      <w:lvlText w:val="%4."/>
      <w:lvlJc w:val="left"/>
      <w:pPr>
        <w:ind w:left="2088" w:hanging="360"/>
      </w:pPr>
    </w:lvl>
    <w:lvl w:ilvl="4" w:tplc="E7B00470">
      <w:start w:val="1"/>
      <w:numFmt w:val="lowerLetter"/>
      <w:lvlText w:val="%5."/>
      <w:lvlJc w:val="left"/>
      <w:pPr>
        <w:ind w:left="2808" w:hanging="360"/>
      </w:pPr>
    </w:lvl>
    <w:lvl w:ilvl="5" w:tplc="A2AC0826" w:tentative="1">
      <w:start w:val="1"/>
      <w:numFmt w:val="lowerRoman"/>
      <w:lvlText w:val="%6."/>
      <w:lvlJc w:val="right"/>
      <w:pPr>
        <w:ind w:left="3528" w:hanging="180"/>
      </w:pPr>
    </w:lvl>
    <w:lvl w:ilvl="6" w:tplc="EC7CF7F4" w:tentative="1">
      <w:start w:val="1"/>
      <w:numFmt w:val="decimal"/>
      <w:lvlText w:val="%7."/>
      <w:lvlJc w:val="left"/>
      <w:pPr>
        <w:ind w:left="4248" w:hanging="360"/>
      </w:pPr>
    </w:lvl>
    <w:lvl w:ilvl="7" w:tplc="E25809AC" w:tentative="1">
      <w:start w:val="1"/>
      <w:numFmt w:val="lowerLetter"/>
      <w:lvlText w:val="%8."/>
      <w:lvlJc w:val="left"/>
      <w:pPr>
        <w:ind w:left="4968" w:hanging="360"/>
      </w:pPr>
    </w:lvl>
    <w:lvl w:ilvl="8" w:tplc="482883BE" w:tentative="1">
      <w:start w:val="1"/>
      <w:numFmt w:val="lowerRoman"/>
      <w:lvlText w:val="%9."/>
      <w:lvlJc w:val="right"/>
      <w:pPr>
        <w:ind w:left="5688" w:hanging="180"/>
      </w:pPr>
    </w:lvl>
  </w:abstractNum>
  <w:abstractNum w:abstractNumId="15" w15:restartNumberingAfterBreak="0">
    <w:nsid w:val="565B1A3F"/>
    <w:multiLevelType w:val="hybridMultilevel"/>
    <w:tmpl w:val="1E5270CC"/>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132FBF"/>
    <w:multiLevelType w:val="hybridMultilevel"/>
    <w:tmpl w:val="88FE04BA"/>
    <w:lvl w:ilvl="0" w:tplc="0409000F">
      <w:start w:val="1"/>
      <w:numFmt w:val="decimal"/>
      <w:lvlText w:val="%1."/>
      <w:lvlJc w:val="left"/>
      <w:pPr>
        <w:ind w:left="720" w:hanging="360"/>
      </w:pPr>
      <w:rPr>
        <w:rFonts w:hint="default"/>
      </w:rPr>
    </w:lvl>
    <w:lvl w:ilvl="1" w:tplc="EBB631FA">
      <w:start w:val="1"/>
      <w:numFmt w:val="lowerLetter"/>
      <w:lvlText w:val="%2."/>
      <w:lvlJc w:val="left"/>
      <w:pPr>
        <w:ind w:left="360" w:hanging="360"/>
      </w:pPr>
    </w:lvl>
    <w:lvl w:ilvl="2" w:tplc="CFE04750" w:tentative="1">
      <w:start w:val="1"/>
      <w:numFmt w:val="lowerRoman"/>
      <w:lvlText w:val="%3."/>
      <w:lvlJc w:val="right"/>
      <w:pPr>
        <w:ind w:left="2160" w:hanging="180"/>
      </w:pPr>
    </w:lvl>
    <w:lvl w:ilvl="3" w:tplc="234A164C" w:tentative="1">
      <w:start w:val="1"/>
      <w:numFmt w:val="decimal"/>
      <w:lvlText w:val="%4."/>
      <w:lvlJc w:val="left"/>
      <w:pPr>
        <w:ind w:left="2880" w:hanging="360"/>
      </w:pPr>
    </w:lvl>
    <w:lvl w:ilvl="4" w:tplc="E60AB63E" w:tentative="1">
      <w:start w:val="1"/>
      <w:numFmt w:val="lowerLetter"/>
      <w:lvlText w:val="%5."/>
      <w:lvlJc w:val="left"/>
      <w:pPr>
        <w:ind w:left="3600" w:hanging="360"/>
      </w:pPr>
    </w:lvl>
    <w:lvl w:ilvl="5" w:tplc="21A40A06" w:tentative="1">
      <w:start w:val="1"/>
      <w:numFmt w:val="lowerRoman"/>
      <w:lvlText w:val="%6."/>
      <w:lvlJc w:val="right"/>
      <w:pPr>
        <w:ind w:left="4320" w:hanging="180"/>
      </w:pPr>
    </w:lvl>
    <w:lvl w:ilvl="6" w:tplc="CA48A666" w:tentative="1">
      <w:start w:val="1"/>
      <w:numFmt w:val="decimal"/>
      <w:lvlText w:val="%7."/>
      <w:lvlJc w:val="left"/>
      <w:pPr>
        <w:ind w:left="5040" w:hanging="360"/>
      </w:pPr>
    </w:lvl>
    <w:lvl w:ilvl="7" w:tplc="02F265A0" w:tentative="1">
      <w:start w:val="1"/>
      <w:numFmt w:val="lowerLetter"/>
      <w:lvlText w:val="%8."/>
      <w:lvlJc w:val="left"/>
      <w:pPr>
        <w:ind w:left="5760" w:hanging="360"/>
      </w:pPr>
    </w:lvl>
    <w:lvl w:ilvl="8" w:tplc="090C82AA" w:tentative="1">
      <w:start w:val="1"/>
      <w:numFmt w:val="lowerRoman"/>
      <w:lvlText w:val="%9."/>
      <w:lvlJc w:val="right"/>
      <w:pPr>
        <w:ind w:left="6480" w:hanging="180"/>
      </w:pPr>
    </w:lvl>
  </w:abstractNum>
  <w:abstractNum w:abstractNumId="17" w15:restartNumberingAfterBreak="0">
    <w:nsid w:val="588935B8"/>
    <w:multiLevelType w:val="hybridMultilevel"/>
    <w:tmpl w:val="FE545F44"/>
    <w:lvl w:ilvl="0" w:tplc="51BE6B84">
      <w:start w:val="1"/>
      <w:numFmt w:val="decimal"/>
      <w:lvlText w:val="%1."/>
      <w:lvlJc w:val="left"/>
      <w:pPr>
        <w:ind w:left="0" w:firstLine="0"/>
      </w:pPr>
      <w:rPr>
        <w:rFonts w:hint="default"/>
        <w:b w:val="0"/>
        <w:i w:val="0"/>
      </w:rPr>
    </w:lvl>
    <w:lvl w:ilvl="1" w:tplc="4352EF10">
      <w:start w:val="1"/>
      <w:numFmt w:val="lowerLetter"/>
      <w:lvlText w:val="%2."/>
      <w:lvlJc w:val="left"/>
      <w:pPr>
        <w:ind w:left="1440" w:hanging="360"/>
      </w:pPr>
    </w:lvl>
    <w:lvl w:ilvl="2" w:tplc="FBAA6C2C" w:tentative="1">
      <w:start w:val="1"/>
      <w:numFmt w:val="lowerRoman"/>
      <w:lvlText w:val="%3."/>
      <w:lvlJc w:val="right"/>
      <w:pPr>
        <w:ind w:left="2160" w:hanging="180"/>
      </w:pPr>
    </w:lvl>
    <w:lvl w:ilvl="3" w:tplc="3C26FB86" w:tentative="1">
      <w:start w:val="1"/>
      <w:numFmt w:val="decimal"/>
      <w:lvlText w:val="%4."/>
      <w:lvlJc w:val="left"/>
      <w:pPr>
        <w:ind w:left="2880" w:hanging="360"/>
      </w:pPr>
    </w:lvl>
    <w:lvl w:ilvl="4" w:tplc="F282EDA2" w:tentative="1">
      <w:start w:val="1"/>
      <w:numFmt w:val="lowerLetter"/>
      <w:lvlText w:val="%5."/>
      <w:lvlJc w:val="left"/>
      <w:pPr>
        <w:ind w:left="3600" w:hanging="360"/>
      </w:pPr>
    </w:lvl>
    <w:lvl w:ilvl="5" w:tplc="05A6202A" w:tentative="1">
      <w:start w:val="1"/>
      <w:numFmt w:val="lowerRoman"/>
      <w:lvlText w:val="%6."/>
      <w:lvlJc w:val="right"/>
      <w:pPr>
        <w:ind w:left="4320" w:hanging="180"/>
      </w:pPr>
    </w:lvl>
    <w:lvl w:ilvl="6" w:tplc="36F00678" w:tentative="1">
      <w:start w:val="1"/>
      <w:numFmt w:val="decimal"/>
      <w:lvlText w:val="%7."/>
      <w:lvlJc w:val="left"/>
      <w:pPr>
        <w:ind w:left="5040" w:hanging="360"/>
      </w:pPr>
    </w:lvl>
    <w:lvl w:ilvl="7" w:tplc="9CDC35E2" w:tentative="1">
      <w:start w:val="1"/>
      <w:numFmt w:val="lowerLetter"/>
      <w:lvlText w:val="%8."/>
      <w:lvlJc w:val="left"/>
      <w:pPr>
        <w:ind w:left="5760" w:hanging="360"/>
      </w:pPr>
    </w:lvl>
    <w:lvl w:ilvl="8" w:tplc="66C64A84" w:tentative="1">
      <w:start w:val="1"/>
      <w:numFmt w:val="lowerRoman"/>
      <w:lvlText w:val="%9."/>
      <w:lvlJc w:val="right"/>
      <w:pPr>
        <w:ind w:left="6480" w:hanging="180"/>
      </w:pPr>
    </w:lvl>
  </w:abstractNum>
  <w:abstractNum w:abstractNumId="18" w15:restartNumberingAfterBreak="0">
    <w:nsid w:val="598922AC"/>
    <w:multiLevelType w:val="hybridMultilevel"/>
    <w:tmpl w:val="D4184DAE"/>
    <w:lvl w:ilvl="0" w:tplc="E9DEABC2">
      <w:start w:val="1"/>
      <w:numFmt w:val="bullet"/>
      <w:lvlText w:val="-"/>
      <w:lvlJc w:val="left"/>
      <w:pPr>
        <w:ind w:left="723" w:hanging="360"/>
      </w:pPr>
      <w:rPr>
        <w:rFonts w:ascii="Calibri" w:eastAsiaTheme="minorEastAsia" w:hAnsi="Calibri" w:cs="Calibri"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19" w15:restartNumberingAfterBreak="0">
    <w:nsid w:val="598D4C23"/>
    <w:multiLevelType w:val="hybridMultilevel"/>
    <w:tmpl w:val="0284DF80"/>
    <w:lvl w:ilvl="0" w:tplc="58F06242">
      <w:start w:val="1"/>
      <w:numFmt w:val="decimal"/>
      <w:lvlText w:val="%1."/>
      <w:lvlJc w:val="left"/>
      <w:pPr>
        <w:ind w:left="720" w:hanging="360"/>
      </w:pPr>
    </w:lvl>
    <w:lvl w:ilvl="1" w:tplc="11CC356E">
      <w:start w:val="1"/>
      <w:numFmt w:val="lowerLetter"/>
      <w:lvlText w:val="%2."/>
      <w:lvlJc w:val="left"/>
      <w:pPr>
        <w:ind w:left="1440" w:hanging="360"/>
      </w:pPr>
    </w:lvl>
    <w:lvl w:ilvl="2" w:tplc="2CDC4744" w:tentative="1">
      <w:start w:val="1"/>
      <w:numFmt w:val="lowerRoman"/>
      <w:lvlText w:val="%3."/>
      <w:lvlJc w:val="right"/>
      <w:pPr>
        <w:ind w:left="2160" w:hanging="180"/>
      </w:pPr>
    </w:lvl>
    <w:lvl w:ilvl="3" w:tplc="51C44E82" w:tentative="1">
      <w:start w:val="1"/>
      <w:numFmt w:val="decimal"/>
      <w:lvlText w:val="%4."/>
      <w:lvlJc w:val="left"/>
      <w:pPr>
        <w:ind w:left="2880" w:hanging="360"/>
      </w:pPr>
    </w:lvl>
    <w:lvl w:ilvl="4" w:tplc="524222E6" w:tentative="1">
      <w:start w:val="1"/>
      <w:numFmt w:val="lowerLetter"/>
      <w:lvlText w:val="%5."/>
      <w:lvlJc w:val="left"/>
      <w:pPr>
        <w:ind w:left="3600" w:hanging="360"/>
      </w:pPr>
    </w:lvl>
    <w:lvl w:ilvl="5" w:tplc="587AC83A" w:tentative="1">
      <w:start w:val="1"/>
      <w:numFmt w:val="lowerRoman"/>
      <w:lvlText w:val="%6."/>
      <w:lvlJc w:val="right"/>
      <w:pPr>
        <w:ind w:left="4320" w:hanging="180"/>
      </w:pPr>
    </w:lvl>
    <w:lvl w:ilvl="6" w:tplc="DA0A706A" w:tentative="1">
      <w:start w:val="1"/>
      <w:numFmt w:val="decimal"/>
      <w:lvlText w:val="%7."/>
      <w:lvlJc w:val="left"/>
      <w:pPr>
        <w:ind w:left="5040" w:hanging="360"/>
      </w:pPr>
    </w:lvl>
    <w:lvl w:ilvl="7" w:tplc="FE4EA87E" w:tentative="1">
      <w:start w:val="1"/>
      <w:numFmt w:val="lowerLetter"/>
      <w:lvlText w:val="%8."/>
      <w:lvlJc w:val="left"/>
      <w:pPr>
        <w:ind w:left="5760" w:hanging="360"/>
      </w:pPr>
    </w:lvl>
    <w:lvl w:ilvl="8" w:tplc="70E810DE" w:tentative="1">
      <w:start w:val="1"/>
      <w:numFmt w:val="lowerRoman"/>
      <w:lvlText w:val="%9."/>
      <w:lvlJc w:val="right"/>
      <w:pPr>
        <w:ind w:left="6480" w:hanging="180"/>
      </w:pPr>
    </w:lvl>
  </w:abstractNum>
  <w:abstractNum w:abstractNumId="20" w15:restartNumberingAfterBreak="0">
    <w:nsid w:val="5BCB4B2F"/>
    <w:multiLevelType w:val="hybridMultilevel"/>
    <w:tmpl w:val="FA44BD7E"/>
    <w:lvl w:ilvl="0" w:tplc="02668160">
      <w:start w:val="1"/>
      <w:numFmt w:val="lowerLetter"/>
      <w:lvlText w:val="%1."/>
      <w:lvlJc w:val="left"/>
      <w:pPr>
        <w:ind w:left="648"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EB7656E"/>
    <w:multiLevelType w:val="hybridMultilevel"/>
    <w:tmpl w:val="035AF2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56511AC"/>
    <w:multiLevelType w:val="hybridMultilevel"/>
    <w:tmpl w:val="E15C119C"/>
    <w:lvl w:ilvl="0" w:tplc="E9DEABC2">
      <w:start w:val="1"/>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2E3AF4"/>
    <w:multiLevelType w:val="hybridMultilevel"/>
    <w:tmpl w:val="A24A9FF2"/>
    <w:lvl w:ilvl="0" w:tplc="38A801D6">
      <w:start w:val="1"/>
      <w:numFmt w:val="decimal"/>
      <w:lvlText w:val="%1."/>
      <w:lvlJc w:val="left"/>
      <w:pPr>
        <w:ind w:left="3" w:hanging="435"/>
      </w:pPr>
      <w:rPr>
        <w:rFonts w:hint="default"/>
      </w:rPr>
    </w:lvl>
    <w:lvl w:ilvl="1" w:tplc="04090019">
      <w:start w:val="1"/>
      <w:numFmt w:val="lowerLetter"/>
      <w:lvlText w:val="%2."/>
      <w:lvlJc w:val="left"/>
      <w:pPr>
        <w:ind w:left="648" w:hanging="360"/>
      </w:pPr>
    </w:lvl>
    <w:lvl w:ilvl="2" w:tplc="E822F340">
      <w:start w:val="1"/>
      <w:numFmt w:val="lowerRoman"/>
      <w:lvlText w:val="%3."/>
      <w:lvlJc w:val="right"/>
      <w:pPr>
        <w:ind w:left="1368" w:hanging="180"/>
      </w:pPr>
    </w:lvl>
    <w:lvl w:ilvl="3" w:tplc="92DC8FDA">
      <w:start w:val="1"/>
      <w:numFmt w:val="decimal"/>
      <w:lvlText w:val="%4."/>
      <w:lvlJc w:val="left"/>
      <w:pPr>
        <w:ind w:left="2088" w:hanging="360"/>
      </w:pPr>
    </w:lvl>
    <w:lvl w:ilvl="4" w:tplc="1524507E">
      <w:start w:val="1"/>
      <w:numFmt w:val="lowerLetter"/>
      <w:lvlText w:val="%5."/>
      <w:lvlJc w:val="left"/>
      <w:pPr>
        <w:ind w:left="2808" w:hanging="360"/>
      </w:pPr>
    </w:lvl>
    <w:lvl w:ilvl="5" w:tplc="62EC89A4" w:tentative="1">
      <w:start w:val="1"/>
      <w:numFmt w:val="lowerRoman"/>
      <w:lvlText w:val="%6."/>
      <w:lvlJc w:val="right"/>
      <w:pPr>
        <w:ind w:left="3528" w:hanging="180"/>
      </w:pPr>
    </w:lvl>
    <w:lvl w:ilvl="6" w:tplc="BCB4FA90" w:tentative="1">
      <w:start w:val="1"/>
      <w:numFmt w:val="decimal"/>
      <w:lvlText w:val="%7."/>
      <w:lvlJc w:val="left"/>
      <w:pPr>
        <w:ind w:left="4248" w:hanging="360"/>
      </w:pPr>
    </w:lvl>
    <w:lvl w:ilvl="7" w:tplc="25CE95EA" w:tentative="1">
      <w:start w:val="1"/>
      <w:numFmt w:val="lowerLetter"/>
      <w:lvlText w:val="%8."/>
      <w:lvlJc w:val="left"/>
      <w:pPr>
        <w:ind w:left="4968" w:hanging="360"/>
      </w:pPr>
    </w:lvl>
    <w:lvl w:ilvl="8" w:tplc="DD1E89A2" w:tentative="1">
      <w:start w:val="1"/>
      <w:numFmt w:val="lowerRoman"/>
      <w:lvlText w:val="%9."/>
      <w:lvlJc w:val="right"/>
      <w:pPr>
        <w:ind w:left="5688" w:hanging="180"/>
      </w:pPr>
    </w:lvl>
  </w:abstractNum>
  <w:abstractNum w:abstractNumId="24" w15:restartNumberingAfterBreak="0">
    <w:nsid w:val="6ED06C5B"/>
    <w:multiLevelType w:val="hybridMultilevel"/>
    <w:tmpl w:val="67326ED4"/>
    <w:lvl w:ilvl="0" w:tplc="E9DEABC2">
      <w:start w:val="1"/>
      <w:numFmt w:val="bullet"/>
      <w:lvlText w:val="-"/>
      <w:lvlJc w:val="left"/>
      <w:pPr>
        <w:ind w:left="723" w:hanging="360"/>
      </w:pPr>
      <w:rPr>
        <w:rFonts w:ascii="Calibri" w:eastAsiaTheme="minorEastAsia" w:hAnsi="Calibri" w:cs="Calibri"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5" w15:restartNumberingAfterBreak="0">
    <w:nsid w:val="6FEB4DC6"/>
    <w:multiLevelType w:val="hybridMultilevel"/>
    <w:tmpl w:val="6CDA5DB6"/>
    <w:lvl w:ilvl="0" w:tplc="076066F6">
      <w:start w:val="5"/>
      <w:numFmt w:val="bullet"/>
      <w:lvlText w:val="-"/>
      <w:lvlJc w:val="left"/>
      <w:pPr>
        <w:ind w:left="720" w:hanging="360"/>
      </w:pPr>
      <w:rPr>
        <w:rFonts w:ascii="Calibri" w:eastAsiaTheme="minorHAnsi" w:hAnsi="Calibri" w:cs="Calibri" w:hint="default"/>
      </w:rPr>
    </w:lvl>
    <w:lvl w:ilvl="1" w:tplc="670A6C9A" w:tentative="1">
      <w:start w:val="1"/>
      <w:numFmt w:val="bullet"/>
      <w:lvlText w:val="o"/>
      <w:lvlJc w:val="left"/>
      <w:pPr>
        <w:ind w:left="1440" w:hanging="360"/>
      </w:pPr>
      <w:rPr>
        <w:rFonts w:ascii="Courier New" w:hAnsi="Courier New" w:cs="Courier New" w:hint="default"/>
      </w:rPr>
    </w:lvl>
    <w:lvl w:ilvl="2" w:tplc="B9466A8E" w:tentative="1">
      <w:start w:val="1"/>
      <w:numFmt w:val="bullet"/>
      <w:lvlText w:val=""/>
      <w:lvlJc w:val="left"/>
      <w:pPr>
        <w:ind w:left="2160" w:hanging="360"/>
      </w:pPr>
      <w:rPr>
        <w:rFonts w:ascii="Wingdings" w:hAnsi="Wingdings" w:hint="default"/>
      </w:rPr>
    </w:lvl>
    <w:lvl w:ilvl="3" w:tplc="3FDE8840" w:tentative="1">
      <w:start w:val="1"/>
      <w:numFmt w:val="bullet"/>
      <w:lvlText w:val=""/>
      <w:lvlJc w:val="left"/>
      <w:pPr>
        <w:ind w:left="2880" w:hanging="360"/>
      </w:pPr>
      <w:rPr>
        <w:rFonts w:ascii="Symbol" w:hAnsi="Symbol" w:hint="default"/>
      </w:rPr>
    </w:lvl>
    <w:lvl w:ilvl="4" w:tplc="76F61F4C" w:tentative="1">
      <w:start w:val="1"/>
      <w:numFmt w:val="bullet"/>
      <w:lvlText w:val="o"/>
      <w:lvlJc w:val="left"/>
      <w:pPr>
        <w:ind w:left="3600" w:hanging="360"/>
      </w:pPr>
      <w:rPr>
        <w:rFonts w:ascii="Courier New" w:hAnsi="Courier New" w:cs="Courier New" w:hint="default"/>
      </w:rPr>
    </w:lvl>
    <w:lvl w:ilvl="5" w:tplc="105CED3E" w:tentative="1">
      <w:start w:val="1"/>
      <w:numFmt w:val="bullet"/>
      <w:lvlText w:val=""/>
      <w:lvlJc w:val="left"/>
      <w:pPr>
        <w:ind w:left="4320" w:hanging="360"/>
      </w:pPr>
      <w:rPr>
        <w:rFonts w:ascii="Wingdings" w:hAnsi="Wingdings" w:hint="default"/>
      </w:rPr>
    </w:lvl>
    <w:lvl w:ilvl="6" w:tplc="F104C306" w:tentative="1">
      <w:start w:val="1"/>
      <w:numFmt w:val="bullet"/>
      <w:lvlText w:val=""/>
      <w:lvlJc w:val="left"/>
      <w:pPr>
        <w:ind w:left="5040" w:hanging="360"/>
      </w:pPr>
      <w:rPr>
        <w:rFonts w:ascii="Symbol" w:hAnsi="Symbol" w:hint="default"/>
      </w:rPr>
    </w:lvl>
    <w:lvl w:ilvl="7" w:tplc="3286C43E" w:tentative="1">
      <w:start w:val="1"/>
      <w:numFmt w:val="bullet"/>
      <w:lvlText w:val="o"/>
      <w:lvlJc w:val="left"/>
      <w:pPr>
        <w:ind w:left="5760" w:hanging="360"/>
      </w:pPr>
      <w:rPr>
        <w:rFonts w:ascii="Courier New" w:hAnsi="Courier New" w:cs="Courier New" w:hint="default"/>
      </w:rPr>
    </w:lvl>
    <w:lvl w:ilvl="8" w:tplc="1F82065E" w:tentative="1">
      <w:start w:val="1"/>
      <w:numFmt w:val="bullet"/>
      <w:lvlText w:val=""/>
      <w:lvlJc w:val="left"/>
      <w:pPr>
        <w:ind w:left="6480" w:hanging="360"/>
      </w:pPr>
      <w:rPr>
        <w:rFonts w:ascii="Wingdings" w:hAnsi="Wingdings" w:hint="default"/>
      </w:rPr>
    </w:lvl>
  </w:abstractNum>
  <w:abstractNum w:abstractNumId="26" w15:restartNumberingAfterBreak="0">
    <w:nsid w:val="702B7C71"/>
    <w:multiLevelType w:val="hybridMultilevel"/>
    <w:tmpl w:val="9FB0CD5E"/>
    <w:lvl w:ilvl="0" w:tplc="90A6AA44">
      <w:start w:val="1"/>
      <w:numFmt w:val="decimal"/>
      <w:lvlText w:val="%1."/>
      <w:lvlJc w:val="left"/>
      <w:pPr>
        <w:ind w:left="720" w:hanging="360"/>
      </w:pPr>
    </w:lvl>
    <w:lvl w:ilvl="1" w:tplc="E9DEABC2">
      <w:start w:val="1"/>
      <w:numFmt w:val="bullet"/>
      <w:lvlText w:val="-"/>
      <w:lvlJc w:val="left"/>
      <w:pPr>
        <w:ind w:left="1440" w:hanging="360"/>
      </w:pPr>
      <w:rPr>
        <w:rFonts w:ascii="Calibri" w:eastAsiaTheme="minorEastAsia" w:hAnsi="Calibri" w:cs="Calibri" w:hint="default"/>
      </w:rPr>
    </w:lvl>
    <w:lvl w:ilvl="2" w:tplc="85DE1EB0">
      <w:start w:val="1"/>
      <w:numFmt w:val="lowerRoman"/>
      <w:lvlText w:val="%3."/>
      <w:lvlJc w:val="right"/>
      <w:pPr>
        <w:ind w:left="2160" w:hanging="180"/>
      </w:pPr>
    </w:lvl>
    <w:lvl w:ilvl="3" w:tplc="B2F280F2">
      <w:start w:val="1"/>
      <w:numFmt w:val="decimal"/>
      <w:lvlText w:val="%4."/>
      <w:lvlJc w:val="left"/>
      <w:pPr>
        <w:ind w:left="450" w:hanging="360"/>
      </w:pPr>
      <w:rPr>
        <w:rFonts w:asciiTheme="minorHAnsi" w:hAnsiTheme="minorHAnsi" w:cstheme="minorHAnsi" w:hint="default"/>
        <w:sz w:val="22"/>
        <w:szCs w:val="22"/>
      </w:rPr>
    </w:lvl>
    <w:lvl w:ilvl="4" w:tplc="3B64FBC8">
      <w:start w:val="1"/>
      <w:numFmt w:val="lowerLetter"/>
      <w:lvlText w:val="%5."/>
      <w:lvlJc w:val="left"/>
      <w:pPr>
        <w:ind w:left="3600" w:hanging="360"/>
      </w:pPr>
    </w:lvl>
    <w:lvl w:ilvl="5" w:tplc="E9DEABC2">
      <w:start w:val="1"/>
      <w:numFmt w:val="bullet"/>
      <w:lvlText w:val="-"/>
      <w:lvlJc w:val="left"/>
      <w:pPr>
        <w:ind w:left="4500" w:hanging="360"/>
      </w:pPr>
      <w:rPr>
        <w:rFonts w:ascii="Calibri" w:eastAsiaTheme="minorEastAsia" w:hAnsi="Calibri" w:cs="Calibri" w:hint="default"/>
      </w:rPr>
    </w:lvl>
    <w:lvl w:ilvl="6" w:tplc="FF4EEDFC">
      <w:start w:val="40"/>
      <w:numFmt w:val="bullet"/>
      <w:lvlText w:val=""/>
      <w:lvlJc w:val="left"/>
      <w:pPr>
        <w:ind w:left="5040" w:hanging="360"/>
      </w:pPr>
      <w:rPr>
        <w:rFonts w:ascii="Wingdings" w:eastAsia="Times New Roman" w:hAnsi="Wingdings" w:cs="Calibri" w:hint="default"/>
      </w:rPr>
    </w:lvl>
    <w:lvl w:ilvl="7" w:tplc="27F4093C" w:tentative="1">
      <w:start w:val="1"/>
      <w:numFmt w:val="lowerLetter"/>
      <w:lvlText w:val="%8."/>
      <w:lvlJc w:val="left"/>
      <w:pPr>
        <w:ind w:left="5760" w:hanging="360"/>
      </w:pPr>
    </w:lvl>
    <w:lvl w:ilvl="8" w:tplc="BD2AAE9E" w:tentative="1">
      <w:start w:val="1"/>
      <w:numFmt w:val="lowerRoman"/>
      <w:lvlText w:val="%9."/>
      <w:lvlJc w:val="right"/>
      <w:pPr>
        <w:ind w:left="6480" w:hanging="180"/>
      </w:pPr>
    </w:lvl>
  </w:abstractNum>
  <w:abstractNum w:abstractNumId="27" w15:restartNumberingAfterBreak="0">
    <w:nsid w:val="73E27E6D"/>
    <w:multiLevelType w:val="hybridMultilevel"/>
    <w:tmpl w:val="DEA03F74"/>
    <w:lvl w:ilvl="0" w:tplc="7200FACA">
      <w:numFmt w:val="bullet"/>
      <w:lvlText w:val="-"/>
      <w:lvlJc w:val="left"/>
      <w:pPr>
        <w:ind w:left="3" w:hanging="435"/>
      </w:pPr>
      <w:rPr>
        <w:rFonts w:ascii="Calibri" w:eastAsia="Calibri" w:hAnsi="Calibri" w:cs="Calibri" w:hint="default"/>
        <w:b w:val="0"/>
        <w:sz w:val="22"/>
        <w:szCs w:val="22"/>
      </w:rPr>
    </w:lvl>
    <w:lvl w:ilvl="1" w:tplc="C6E00460">
      <w:start w:val="1"/>
      <w:numFmt w:val="lowerLetter"/>
      <w:lvlText w:val="%2."/>
      <w:lvlJc w:val="left"/>
      <w:pPr>
        <w:ind w:left="648" w:hanging="360"/>
      </w:pPr>
      <w:rPr>
        <w:b w:val="0"/>
      </w:rPr>
    </w:lvl>
    <w:lvl w:ilvl="2" w:tplc="2F5EACEA">
      <w:start w:val="1"/>
      <w:numFmt w:val="lowerRoman"/>
      <w:lvlText w:val="%3."/>
      <w:lvlJc w:val="right"/>
      <w:pPr>
        <w:ind w:left="1368" w:hanging="180"/>
      </w:pPr>
    </w:lvl>
    <w:lvl w:ilvl="3" w:tplc="4268E9E8">
      <w:start w:val="1"/>
      <w:numFmt w:val="decimal"/>
      <w:lvlText w:val="%4."/>
      <w:lvlJc w:val="left"/>
      <w:pPr>
        <w:ind w:left="2088" w:hanging="360"/>
      </w:pPr>
    </w:lvl>
    <w:lvl w:ilvl="4" w:tplc="0D746062">
      <w:start w:val="1"/>
      <w:numFmt w:val="lowerLetter"/>
      <w:lvlText w:val="%5."/>
      <w:lvlJc w:val="left"/>
      <w:pPr>
        <w:ind w:left="2808" w:hanging="360"/>
      </w:pPr>
    </w:lvl>
    <w:lvl w:ilvl="5" w:tplc="EA1A6F40" w:tentative="1">
      <w:start w:val="1"/>
      <w:numFmt w:val="lowerRoman"/>
      <w:lvlText w:val="%6."/>
      <w:lvlJc w:val="right"/>
      <w:pPr>
        <w:ind w:left="3528" w:hanging="180"/>
      </w:pPr>
    </w:lvl>
    <w:lvl w:ilvl="6" w:tplc="7F4C0AD4" w:tentative="1">
      <w:start w:val="1"/>
      <w:numFmt w:val="decimal"/>
      <w:lvlText w:val="%7."/>
      <w:lvlJc w:val="left"/>
      <w:pPr>
        <w:ind w:left="4248" w:hanging="360"/>
      </w:pPr>
    </w:lvl>
    <w:lvl w:ilvl="7" w:tplc="B6C647A4" w:tentative="1">
      <w:start w:val="1"/>
      <w:numFmt w:val="lowerLetter"/>
      <w:lvlText w:val="%8."/>
      <w:lvlJc w:val="left"/>
      <w:pPr>
        <w:ind w:left="4968" w:hanging="360"/>
      </w:pPr>
    </w:lvl>
    <w:lvl w:ilvl="8" w:tplc="E7C8719E" w:tentative="1">
      <w:start w:val="1"/>
      <w:numFmt w:val="lowerRoman"/>
      <w:lvlText w:val="%9."/>
      <w:lvlJc w:val="right"/>
      <w:pPr>
        <w:ind w:left="5688" w:hanging="180"/>
      </w:pPr>
    </w:lvl>
  </w:abstractNum>
  <w:abstractNum w:abstractNumId="28" w15:restartNumberingAfterBreak="0">
    <w:nsid w:val="74B16CC4"/>
    <w:multiLevelType w:val="hybridMultilevel"/>
    <w:tmpl w:val="BDA4BF06"/>
    <w:lvl w:ilvl="0" w:tplc="E26840E6">
      <w:numFmt w:val="bullet"/>
      <w:lvlText w:val="-"/>
      <w:lvlJc w:val="left"/>
      <w:pPr>
        <w:ind w:left="3" w:hanging="435"/>
      </w:pPr>
      <w:rPr>
        <w:rFonts w:ascii="Arial" w:eastAsia="Calibri" w:hAnsi="Arial" w:cs="Arial" w:hint="default"/>
        <w:b w:val="0"/>
        <w:sz w:val="22"/>
        <w:szCs w:val="22"/>
      </w:rPr>
    </w:lvl>
    <w:lvl w:ilvl="1" w:tplc="22DEF6EA">
      <w:start w:val="1"/>
      <w:numFmt w:val="lowerLetter"/>
      <w:lvlText w:val="%2."/>
      <w:lvlJc w:val="left"/>
      <w:pPr>
        <w:ind w:left="648" w:hanging="360"/>
      </w:pPr>
      <w:rPr>
        <w:b w:val="0"/>
      </w:rPr>
    </w:lvl>
    <w:lvl w:ilvl="2" w:tplc="F8BCF388">
      <w:start w:val="1"/>
      <w:numFmt w:val="lowerRoman"/>
      <w:lvlText w:val="%3."/>
      <w:lvlJc w:val="right"/>
      <w:pPr>
        <w:ind w:left="1368" w:hanging="180"/>
      </w:pPr>
    </w:lvl>
    <w:lvl w:ilvl="3" w:tplc="580C2650">
      <w:start w:val="1"/>
      <w:numFmt w:val="decimal"/>
      <w:lvlText w:val="%4."/>
      <w:lvlJc w:val="left"/>
      <w:pPr>
        <w:ind w:left="2088" w:hanging="360"/>
      </w:pPr>
    </w:lvl>
    <w:lvl w:ilvl="4" w:tplc="530EC396">
      <w:start w:val="1"/>
      <w:numFmt w:val="lowerLetter"/>
      <w:lvlText w:val="%5."/>
      <w:lvlJc w:val="left"/>
      <w:pPr>
        <w:ind w:left="2808" w:hanging="360"/>
      </w:pPr>
    </w:lvl>
    <w:lvl w:ilvl="5" w:tplc="C9DA67B0" w:tentative="1">
      <w:start w:val="1"/>
      <w:numFmt w:val="lowerRoman"/>
      <w:lvlText w:val="%6."/>
      <w:lvlJc w:val="right"/>
      <w:pPr>
        <w:ind w:left="3528" w:hanging="180"/>
      </w:pPr>
    </w:lvl>
    <w:lvl w:ilvl="6" w:tplc="5A18A16E" w:tentative="1">
      <w:start w:val="1"/>
      <w:numFmt w:val="decimal"/>
      <w:lvlText w:val="%7."/>
      <w:lvlJc w:val="left"/>
      <w:pPr>
        <w:ind w:left="4248" w:hanging="360"/>
      </w:pPr>
    </w:lvl>
    <w:lvl w:ilvl="7" w:tplc="5FACB66C" w:tentative="1">
      <w:start w:val="1"/>
      <w:numFmt w:val="lowerLetter"/>
      <w:lvlText w:val="%8."/>
      <w:lvlJc w:val="left"/>
      <w:pPr>
        <w:ind w:left="4968" w:hanging="360"/>
      </w:pPr>
    </w:lvl>
    <w:lvl w:ilvl="8" w:tplc="EBC47ABE" w:tentative="1">
      <w:start w:val="1"/>
      <w:numFmt w:val="lowerRoman"/>
      <w:lvlText w:val="%9."/>
      <w:lvlJc w:val="right"/>
      <w:pPr>
        <w:ind w:left="5688" w:hanging="180"/>
      </w:pPr>
    </w:lvl>
  </w:abstractNum>
  <w:abstractNum w:abstractNumId="29" w15:restartNumberingAfterBreak="0">
    <w:nsid w:val="76585A15"/>
    <w:multiLevelType w:val="hybridMultilevel"/>
    <w:tmpl w:val="6FE051A6"/>
    <w:lvl w:ilvl="0" w:tplc="F412FCD6">
      <w:start w:val="1"/>
      <w:numFmt w:val="bullet"/>
      <w:lvlText w:val="-"/>
      <w:lvlJc w:val="left"/>
      <w:pPr>
        <w:ind w:left="720" w:hanging="360"/>
      </w:pPr>
      <w:rPr>
        <w:rFonts w:ascii="Times New Roman" w:eastAsiaTheme="minorEastAsia" w:hAnsi="Times New Roman" w:cs="Times New Roman" w:hint="default"/>
      </w:rPr>
    </w:lvl>
    <w:lvl w:ilvl="1" w:tplc="640E012A" w:tentative="1">
      <w:start w:val="1"/>
      <w:numFmt w:val="bullet"/>
      <w:lvlText w:val="o"/>
      <w:lvlJc w:val="left"/>
      <w:pPr>
        <w:ind w:left="1440" w:hanging="360"/>
      </w:pPr>
      <w:rPr>
        <w:rFonts w:ascii="Courier New" w:hAnsi="Courier New" w:cs="Courier New" w:hint="default"/>
      </w:rPr>
    </w:lvl>
    <w:lvl w:ilvl="2" w:tplc="F95268A0" w:tentative="1">
      <w:start w:val="1"/>
      <w:numFmt w:val="bullet"/>
      <w:lvlText w:val=""/>
      <w:lvlJc w:val="left"/>
      <w:pPr>
        <w:ind w:left="2160" w:hanging="360"/>
      </w:pPr>
      <w:rPr>
        <w:rFonts w:ascii="Wingdings" w:hAnsi="Wingdings" w:hint="default"/>
      </w:rPr>
    </w:lvl>
    <w:lvl w:ilvl="3" w:tplc="2FCE627E" w:tentative="1">
      <w:start w:val="1"/>
      <w:numFmt w:val="bullet"/>
      <w:lvlText w:val=""/>
      <w:lvlJc w:val="left"/>
      <w:pPr>
        <w:ind w:left="2880" w:hanging="360"/>
      </w:pPr>
      <w:rPr>
        <w:rFonts w:ascii="Symbol" w:hAnsi="Symbol" w:hint="default"/>
      </w:rPr>
    </w:lvl>
    <w:lvl w:ilvl="4" w:tplc="0392597E" w:tentative="1">
      <w:start w:val="1"/>
      <w:numFmt w:val="bullet"/>
      <w:lvlText w:val="o"/>
      <w:lvlJc w:val="left"/>
      <w:pPr>
        <w:ind w:left="3600" w:hanging="360"/>
      </w:pPr>
      <w:rPr>
        <w:rFonts w:ascii="Courier New" w:hAnsi="Courier New" w:cs="Courier New" w:hint="default"/>
      </w:rPr>
    </w:lvl>
    <w:lvl w:ilvl="5" w:tplc="C5722532" w:tentative="1">
      <w:start w:val="1"/>
      <w:numFmt w:val="bullet"/>
      <w:lvlText w:val=""/>
      <w:lvlJc w:val="left"/>
      <w:pPr>
        <w:ind w:left="4320" w:hanging="360"/>
      </w:pPr>
      <w:rPr>
        <w:rFonts w:ascii="Wingdings" w:hAnsi="Wingdings" w:hint="default"/>
      </w:rPr>
    </w:lvl>
    <w:lvl w:ilvl="6" w:tplc="4876642A" w:tentative="1">
      <w:start w:val="1"/>
      <w:numFmt w:val="bullet"/>
      <w:lvlText w:val=""/>
      <w:lvlJc w:val="left"/>
      <w:pPr>
        <w:ind w:left="5040" w:hanging="360"/>
      </w:pPr>
      <w:rPr>
        <w:rFonts w:ascii="Symbol" w:hAnsi="Symbol" w:hint="default"/>
      </w:rPr>
    </w:lvl>
    <w:lvl w:ilvl="7" w:tplc="1BBE8D24" w:tentative="1">
      <w:start w:val="1"/>
      <w:numFmt w:val="bullet"/>
      <w:lvlText w:val="o"/>
      <w:lvlJc w:val="left"/>
      <w:pPr>
        <w:ind w:left="5760" w:hanging="360"/>
      </w:pPr>
      <w:rPr>
        <w:rFonts w:ascii="Courier New" w:hAnsi="Courier New" w:cs="Courier New" w:hint="default"/>
      </w:rPr>
    </w:lvl>
    <w:lvl w:ilvl="8" w:tplc="4036B96A" w:tentative="1">
      <w:start w:val="1"/>
      <w:numFmt w:val="bullet"/>
      <w:lvlText w:val=""/>
      <w:lvlJc w:val="left"/>
      <w:pPr>
        <w:ind w:left="6480" w:hanging="360"/>
      </w:pPr>
      <w:rPr>
        <w:rFonts w:ascii="Wingdings" w:hAnsi="Wingdings" w:hint="default"/>
      </w:rPr>
    </w:lvl>
  </w:abstractNum>
  <w:abstractNum w:abstractNumId="30" w15:restartNumberingAfterBreak="0">
    <w:nsid w:val="7A5D1339"/>
    <w:multiLevelType w:val="hybridMultilevel"/>
    <w:tmpl w:val="D5F0E162"/>
    <w:lvl w:ilvl="0" w:tplc="4A8A08B8">
      <w:start w:val="1"/>
      <w:numFmt w:val="lowerLetter"/>
      <w:lvlText w:val="%1."/>
      <w:lvlJc w:val="left"/>
      <w:pPr>
        <w:ind w:left="1080" w:hanging="360"/>
      </w:pPr>
      <w:rPr>
        <w:rFonts w:asciiTheme="minorHAnsi" w:hAnsiTheme="minorHAnsi" w:cstheme="minorHAnsi" w:hint="default"/>
        <w:b w:val="0"/>
        <w:bCs/>
        <w:sz w:val="22"/>
        <w:szCs w:val="22"/>
      </w:rPr>
    </w:lvl>
    <w:lvl w:ilvl="1" w:tplc="E222C186">
      <w:start w:val="1"/>
      <w:numFmt w:val="lowerLetter"/>
      <w:lvlText w:val="%2."/>
      <w:lvlJc w:val="left"/>
      <w:pPr>
        <w:ind w:left="1800" w:hanging="360"/>
      </w:pPr>
    </w:lvl>
    <w:lvl w:ilvl="2" w:tplc="ED7656DA" w:tentative="1">
      <w:start w:val="1"/>
      <w:numFmt w:val="lowerRoman"/>
      <w:lvlText w:val="%3."/>
      <w:lvlJc w:val="right"/>
      <w:pPr>
        <w:ind w:left="2520" w:hanging="180"/>
      </w:pPr>
    </w:lvl>
    <w:lvl w:ilvl="3" w:tplc="4DE6F68A" w:tentative="1">
      <w:start w:val="1"/>
      <w:numFmt w:val="decimal"/>
      <w:lvlText w:val="%4."/>
      <w:lvlJc w:val="left"/>
      <w:pPr>
        <w:ind w:left="3240" w:hanging="360"/>
      </w:pPr>
    </w:lvl>
    <w:lvl w:ilvl="4" w:tplc="A26A2DD8" w:tentative="1">
      <w:start w:val="1"/>
      <w:numFmt w:val="lowerLetter"/>
      <w:lvlText w:val="%5."/>
      <w:lvlJc w:val="left"/>
      <w:pPr>
        <w:ind w:left="3960" w:hanging="360"/>
      </w:pPr>
    </w:lvl>
    <w:lvl w:ilvl="5" w:tplc="04C2FD60" w:tentative="1">
      <w:start w:val="1"/>
      <w:numFmt w:val="lowerRoman"/>
      <w:lvlText w:val="%6."/>
      <w:lvlJc w:val="right"/>
      <w:pPr>
        <w:ind w:left="4680" w:hanging="180"/>
      </w:pPr>
    </w:lvl>
    <w:lvl w:ilvl="6" w:tplc="E3DE3EE4" w:tentative="1">
      <w:start w:val="1"/>
      <w:numFmt w:val="decimal"/>
      <w:lvlText w:val="%7."/>
      <w:lvlJc w:val="left"/>
      <w:pPr>
        <w:ind w:left="5400" w:hanging="360"/>
      </w:pPr>
    </w:lvl>
    <w:lvl w:ilvl="7" w:tplc="29C60AAC" w:tentative="1">
      <w:start w:val="1"/>
      <w:numFmt w:val="lowerLetter"/>
      <w:lvlText w:val="%8."/>
      <w:lvlJc w:val="left"/>
      <w:pPr>
        <w:ind w:left="6120" w:hanging="360"/>
      </w:pPr>
    </w:lvl>
    <w:lvl w:ilvl="8" w:tplc="AFDE5538" w:tentative="1">
      <w:start w:val="1"/>
      <w:numFmt w:val="lowerRoman"/>
      <w:lvlText w:val="%9."/>
      <w:lvlJc w:val="right"/>
      <w:pPr>
        <w:ind w:left="6840" w:hanging="180"/>
      </w:pPr>
    </w:lvl>
  </w:abstractNum>
  <w:num w:numId="1">
    <w:abstractNumId w:val="2"/>
  </w:num>
  <w:num w:numId="2">
    <w:abstractNumId w:val="16"/>
  </w:num>
  <w:num w:numId="3">
    <w:abstractNumId w:val="21"/>
  </w:num>
  <w:num w:numId="4">
    <w:abstractNumId w:val="10"/>
  </w:num>
  <w:num w:numId="5">
    <w:abstractNumId w:val="8"/>
  </w:num>
  <w:num w:numId="6">
    <w:abstractNumId w:val="0"/>
  </w:num>
  <w:num w:numId="7">
    <w:abstractNumId w:val="30"/>
  </w:num>
  <w:num w:numId="8">
    <w:abstractNumId w:val="11"/>
  </w:num>
  <w:num w:numId="9">
    <w:abstractNumId w:val="6"/>
  </w:num>
  <w:num w:numId="10">
    <w:abstractNumId w:val="12"/>
  </w:num>
  <w:num w:numId="11">
    <w:abstractNumId w:val="9"/>
  </w:num>
  <w:num w:numId="12">
    <w:abstractNumId w:val="25"/>
  </w:num>
  <w:num w:numId="13">
    <w:abstractNumId w:val="7"/>
  </w:num>
  <w:num w:numId="14">
    <w:abstractNumId w:val="22"/>
  </w:num>
  <w:num w:numId="15">
    <w:abstractNumId w:val="26"/>
  </w:num>
  <w:num w:numId="16">
    <w:abstractNumId w:val="3"/>
  </w:num>
  <w:num w:numId="17">
    <w:abstractNumId w:val="24"/>
  </w:num>
  <w:num w:numId="18">
    <w:abstractNumId w:val="18"/>
  </w:num>
  <w:num w:numId="19">
    <w:abstractNumId w:val="15"/>
  </w:num>
  <w:num w:numId="20">
    <w:abstractNumId w:val="4"/>
  </w:num>
  <w:num w:numId="21">
    <w:abstractNumId w:val="5"/>
  </w:num>
  <w:num w:numId="22">
    <w:abstractNumId w:val="14"/>
  </w:num>
  <w:num w:numId="23">
    <w:abstractNumId w:val="20"/>
  </w:num>
  <w:num w:numId="24">
    <w:abstractNumId w:val="29"/>
  </w:num>
  <w:num w:numId="25">
    <w:abstractNumId w:val="27"/>
  </w:num>
  <w:num w:numId="26">
    <w:abstractNumId w:val="28"/>
  </w:num>
  <w:num w:numId="27">
    <w:abstractNumId w:val="1"/>
  </w:num>
  <w:num w:numId="28">
    <w:abstractNumId w:val="19"/>
  </w:num>
  <w:num w:numId="29">
    <w:abstractNumId w:val="13"/>
  </w:num>
  <w:num w:numId="30">
    <w:abstractNumId w:val="17"/>
  </w:num>
  <w:num w:numId="31">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verpage" w:val="0,2,4,6"/>
    <w:docVar w:name="docversion" w:val="apid_3.1"/>
    <w:docVar w:name="lastsection" w:val="7"/>
    <w:docVar w:name="PIDPREPAREDDATE_VAR" w:val="16-Dec-2019"/>
  </w:docVars>
  <w:rsids>
    <w:rsidRoot w:val="006803CC"/>
    <w:rsid w:val="00012D93"/>
    <w:rsid w:val="00012EB5"/>
    <w:rsid w:val="00015FFF"/>
    <w:rsid w:val="00027D81"/>
    <w:rsid w:val="00037590"/>
    <w:rsid w:val="00045AA2"/>
    <w:rsid w:val="00053E78"/>
    <w:rsid w:val="00055312"/>
    <w:rsid w:val="0005694C"/>
    <w:rsid w:val="000603E8"/>
    <w:rsid w:val="00073A4B"/>
    <w:rsid w:val="00074C66"/>
    <w:rsid w:val="0007798D"/>
    <w:rsid w:val="00082759"/>
    <w:rsid w:val="000860EC"/>
    <w:rsid w:val="0008790F"/>
    <w:rsid w:val="00091456"/>
    <w:rsid w:val="00093C13"/>
    <w:rsid w:val="00093FCC"/>
    <w:rsid w:val="000946DD"/>
    <w:rsid w:val="00095AB3"/>
    <w:rsid w:val="000A491F"/>
    <w:rsid w:val="000A7F66"/>
    <w:rsid w:val="000B695D"/>
    <w:rsid w:val="000C12E3"/>
    <w:rsid w:val="000C493C"/>
    <w:rsid w:val="000C6119"/>
    <w:rsid w:val="000C6F5F"/>
    <w:rsid w:val="000E0BC7"/>
    <w:rsid w:val="000E2841"/>
    <w:rsid w:val="000F7320"/>
    <w:rsid w:val="00102D80"/>
    <w:rsid w:val="00102DBF"/>
    <w:rsid w:val="00106318"/>
    <w:rsid w:val="0011294F"/>
    <w:rsid w:val="00121335"/>
    <w:rsid w:val="00141FC0"/>
    <w:rsid w:val="00144001"/>
    <w:rsid w:val="001445F8"/>
    <w:rsid w:val="001462AE"/>
    <w:rsid w:val="00151644"/>
    <w:rsid w:val="001525AD"/>
    <w:rsid w:val="00153661"/>
    <w:rsid w:val="0015598A"/>
    <w:rsid w:val="0016455E"/>
    <w:rsid w:val="00165C21"/>
    <w:rsid w:val="00167696"/>
    <w:rsid w:val="00167CC8"/>
    <w:rsid w:val="00170C51"/>
    <w:rsid w:val="00174C47"/>
    <w:rsid w:val="00176C43"/>
    <w:rsid w:val="001803B0"/>
    <w:rsid w:val="00181A87"/>
    <w:rsid w:val="001836DF"/>
    <w:rsid w:val="00185ED9"/>
    <w:rsid w:val="00192CCE"/>
    <w:rsid w:val="001965C2"/>
    <w:rsid w:val="001970BA"/>
    <w:rsid w:val="00197548"/>
    <w:rsid w:val="001A152D"/>
    <w:rsid w:val="001A1A8B"/>
    <w:rsid w:val="001A2056"/>
    <w:rsid w:val="001A213C"/>
    <w:rsid w:val="001A2D42"/>
    <w:rsid w:val="001A7BBF"/>
    <w:rsid w:val="001B0034"/>
    <w:rsid w:val="001B1D1A"/>
    <w:rsid w:val="001B2624"/>
    <w:rsid w:val="001B4EC2"/>
    <w:rsid w:val="001C1149"/>
    <w:rsid w:val="001C5F4B"/>
    <w:rsid w:val="001C758F"/>
    <w:rsid w:val="001D1259"/>
    <w:rsid w:val="001D3DF0"/>
    <w:rsid w:val="001E0BE2"/>
    <w:rsid w:val="001E3561"/>
    <w:rsid w:val="001F3579"/>
    <w:rsid w:val="001F412E"/>
    <w:rsid w:val="00202352"/>
    <w:rsid w:val="002050BE"/>
    <w:rsid w:val="00212CFE"/>
    <w:rsid w:val="00220581"/>
    <w:rsid w:val="00221945"/>
    <w:rsid w:val="002230F4"/>
    <w:rsid w:val="002248AB"/>
    <w:rsid w:val="00227066"/>
    <w:rsid w:val="00231A55"/>
    <w:rsid w:val="00237E68"/>
    <w:rsid w:val="002532F8"/>
    <w:rsid w:val="00254D86"/>
    <w:rsid w:val="00255E15"/>
    <w:rsid w:val="00260B2A"/>
    <w:rsid w:val="00262B72"/>
    <w:rsid w:val="0026572A"/>
    <w:rsid w:val="0026745A"/>
    <w:rsid w:val="002754CA"/>
    <w:rsid w:val="00277FCD"/>
    <w:rsid w:val="00293011"/>
    <w:rsid w:val="00295AAA"/>
    <w:rsid w:val="00295AFD"/>
    <w:rsid w:val="002A3A54"/>
    <w:rsid w:val="002A61F9"/>
    <w:rsid w:val="002B0047"/>
    <w:rsid w:val="002B423F"/>
    <w:rsid w:val="002B5A14"/>
    <w:rsid w:val="002B5E24"/>
    <w:rsid w:val="002C6CA9"/>
    <w:rsid w:val="002C724F"/>
    <w:rsid w:val="002C7F72"/>
    <w:rsid w:val="002D66AD"/>
    <w:rsid w:val="002E128C"/>
    <w:rsid w:val="002E38A2"/>
    <w:rsid w:val="002E4DF3"/>
    <w:rsid w:val="002E68B2"/>
    <w:rsid w:val="002E6C51"/>
    <w:rsid w:val="002E7662"/>
    <w:rsid w:val="002F151A"/>
    <w:rsid w:val="002F4EAB"/>
    <w:rsid w:val="002F51D2"/>
    <w:rsid w:val="002F6FB8"/>
    <w:rsid w:val="00301B2C"/>
    <w:rsid w:val="00304676"/>
    <w:rsid w:val="00306F68"/>
    <w:rsid w:val="00311999"/>
    <w:rsid w:val="003132E2"/>
    <w:rsid w:val="00317F6E"/>
    <w:rsid w:val="003201EF"/>
    <w:rsid w:val="00320A69"/>
    <w:rsid w:val="00327BCB"/>
    <w:rsid w:val="00332C0A"/>
    <w:rsid w:val="003431BF"/>
    <w:rsid w:val="00350D15"/>
    <w:rsid w:val="00351AE9"/>
    <w:rsid w:val="00351B7A"/>
    <w:rsid w:val="0036680C"/>
    <w:rsid w:val="00366DBF"/>
    <w:rsid w:val="00367F09"/>
    <w:rsid w:val="00370B36"/>
    <w:rsid w:val="00372162"/>
    <w:rsid w:val="00372A5C"/>
    <w:rsid w:val="00373F78"/>
    <w:rsid w:val="00387526"/>
    <w:rsid w:val="003A3A0F"/>
    <w:rsid w:val="003B27BD"/>
    <w:rsid w:val="003B3A63"/>
    <w:rsid w:val="003C1755"/>
    <w:rsid w:val="003C36D0"/>
    <w:rsid w:val="003C3E9C"/>
    <w:rsid w:val="003D037B"/>
    <w:rsid w:val="003D2D61"/>
    <w:rsid w:val="003D4E23"/>
    <w:rsid w:val="003E3306"/>
    <w:rsid w:val="003E50DF"/>
    <w:rsid w:val="003F1F01"/>
    <w:rsid w:val="003F532E"/>
    <w:rsid w:val="003F617F"/>
    <w:rsid w:val="003F68ED"/>
    <w:rsid w:val="00403977"/>
    <w:rsid w:val="00404147"/>
    <w:rsid w:val="00411217"/>
    <w:rsid w:val="00417308"/>
    <w:rsid w:val="0041750E"/>
    <w:rsid w:val="00417F85"/>
    <w:rsid w:val="00425CDB"/>
    <w:rsid w:val="00426BBE"/>
    <w:rsid w:val="00430CBE"/>
    <w:rsid w:val="00431CA1"/>
    <w:rsid w:val="00445B8A"/>
    <w:rsid w:val="004463D0"/>
    <w:rsid w:val="00461937"/>
    <w:rsid w:val="004805D4"/>
    <w:rsid w:val="004829B3"/>
    <w:rsid w:val="00483ABF"/>
    <w:rsid w:val="00485102"/>
    <w:rsid w:val="00485630"/>
    <w:rsid w:val="004943B5"/>
    <w:rsid w:val="004B330D"/>
    <w:rsid w:val="004B3F66"/>
    <w:rsid w:val="004B42EE"/>
    <w:rsid w:val="004B50A5"/>
    <w:rsid w:val="004C5C9F"/>
    <w:rsid w:val="004C688D"/>
    <w:rsid w:val="004D1670"/>
    <w:rsid w:val="004D6363"/>
    <w:rsid w:val="004E57B4"/>
    <w:rsid w:val="005016FF"/>
    <w:rsid w:val="0050211D"/>
    <w:rsid w:val="00505736"/>
    <w:rsid w:val="00506182"/>
    <w:rsid w:val="0051127C"/>
    <w:rsid w:val="0051209F"/>
    <w:rsid w:val="00512170"/>
    <w:rsid w:val="00513A68"/>
    <w:rsid w:val="005140A9"/>
    <w:rsid w:val="00514231"/>
    <w:rsid w:val="0051529E"/>
    <w:rsid w:val="005276DB"/>
    <w:rsid w:val="00531AA0"/>
    <w:rsid w:val="0053259E"/>
    <w:rsid w:val="00532EB4"/>
    <w:rsid w:val="0053654B"/>
    <w:rsid w:val="00542BC8"/>
    <w:rsid w:val="00553054"/>
    <w:rsid w:val="005573FF"/>
    <w:rsid w:val="00564DE3"/>
    <w:rsid w:val="00570754"/>
    <w:rsid w:val="00572991"/>
    <w:rsid w:val="00577B31"/>
    <w:rsid w:val="005801A5"/>
    <w:rsid w:val="00580478"/>
    <w:rsid w:val="005813C0"/>
    <w:rsid w:val="00594346"/>
    <w:rsid w:val="005A1B7B"/>
    <w:rsid w:val="005A31C0"/>
    <w:rsid w:val="005A3862"/>
    <w:rsid w:val="005A5B4A"/>
    <w:rsid w:val="005B3B59"/>
    <w:rsid w:val="005B5BBF"/>
    <w:rsid w:val="005C1252"/>
    <w:rsid w:val="005C26B1"/>
    <w:rsid w:val="005C363A"/>
    <w:rsid w:val="005C51F6"/>
    <w:rsid w:val="005C71E8"/>
    <w:rsid w:val="005D75B3"/>
    <w:rsid w:val="005E1A4E"/>
    <w:rsid w:val="005E5E94"/>
    <w:rsid w:val="005E7C03"/>
    <w:rsid w:val="00604484"/>
    <w:rsid w:val="006059C9"/>
    <w:rsid w:val="0060706B"/>
    <w:rsid w:val="00612921"/>
    <w:rsid w:val="00613726"/>
    <w:rsid w:val="006178BD"/>
    <w:rsid w:val="006217BF"/>
    <w:rsid w:val="00623EFD"/>
    <w:rsid w:val="0063163E"/>
    <w:rsid w:val="00635864"/>
    <w:rsid w:val="006362CE"/>
    <w:rsid w:val="00637574"/>
    <w:rsid w:val="00640326"/>
    <w:rsid w:val="00642AC6"/>
    <w:rsid w:val="0064440F"/>
    <w:rsid w:val="00644B08"/>
    <w:rsid w:val="00644C67"/>
    <w:rsid w:val="00651201"/>
    <w:rsid w:val="0065228D"/>
    <w:rsid w:val="00662E77"/>
    <w:rsid w:val="0066607C"/>
    <w:rsid w:val="00667B45"/>
    <w:rsid w:val="0067003A"/>
    <w:rsid w:val="00677345"/>
    <w:rsid w:val="006803CC"/>
    <w:rsid w:val="00680E9D"/>
    <w:rsid w:val="006908C1"/>
    <w:rsid w:val="006923E9"/>
    <w:rsid w:val="00692739"/>
    <w:rsid w:val="0069293A"/>
    <w:rsid w:val="00694C1D"/>
    <w:rsid w:val="006B6635"/>
    <w:rsid w:val="006C1315"/>
    <w:rsid w:val="006C2BE3"/>
    <w:rsid w:val="006C5757"/>
    <w:rsid w:val="006D1665"/>
    <w:rsid w:val="006D5102"/>
    <w:rsid w:val="006D5E44"/>
    <w:rsid w:val="006E1348"/>
    <w:rsid w:val="006E2620"/>
    <w:rsid w:val="006E3F15"/>
    <w:rsid w:val="006E46E3"/>
    <w:rsid w:val="006E5E07"/>
    <w:rsid w:val="006F4C24"/>
    <w:rsid w:val="00702360"/>
    <w:rsid w:val="00702B05"/>
    <w:rsid w:val="0070486C"/>
    <w:rsid w:val="00705F2B"/>
    <w:rsid w:val="007150E8"/>
    <w:rsid w:val="007208AD"/>
    <w:rsid w:val="00732614"/>
    <w:rsid w:val="00733148"/>
    <w:rsid w:val="0073383F"/>
    <w:rsid w:val="00736A41"/>
    <w:rsid w:val="00737934"/>
    <w:rsid w:val="00747020"/>
    <w:rsid w:val="007606FC"/>
    <w:rsid w:val="00760B41"/>
    <w:rsid w:val="00761125"/>
    <w:rsid w:val="007646CB"/>
    <w:rsid w:val="0076541A"/>
    <w:rsid w:val="0076604F"/>
    <w:rsid w:val="0076621F"/>
    <w:rsid w:val="00774E5E"/>
    <w:rsid w:val="00786A6D"/>
    <w:rsid w:val="00792ACB"/>
    <w:rsid w:val="007A71FB"/>
    <w:rsid w:val="007B4602"/>
    <w:rsid w:val="007B4F4F"/>
    <w:rsid w:val="007C40EC"/>
    <w:rsid w:val="007C63F5"/>
    <w:rsid w:val="007D145C"/>
    <w:rsid w:val="007D2EBF"/>
    <w:rsid w:val="007E1A9B"/>
    <w:rsid w:val="007E4CFA"/>
    <w:rsid w:val="008002D2"/>
    <w:rsid w:val="0081222F"/>
    <w:rsid w:val="00812622"/>
    <w:rsid w:val="00817E88"/>
    <w:rsid w:val="00830141"/>
    <w:rsid w:val="008360AA"/>
    <w:rsid w:val="00836DEE"/>
    <w:rsid w:val="008409F9"/>
    <w:rsid w:val="00840DC9"/>
    <w:rsid w:val="008437E6"/>
    <w:rsid w:val="00844359"/>
    <w:rsid w:val="00846914"/>
    <w:rsid w:val="00846E11"/>
    <w:rsid w:val="00850C68"/>
    <w:rsid w:val="00861F07"/>
    <w:rsid w:val="00861FF1"/>
    <w:rsid w:val="0086727F"/>
    <w:rsid w:val="00875D86"/>
    <w:rsid w:val="00876602"/>
    <w:rsid w:val="00890E84"/>
    <w:rsid w:val="00897B49"/>
    <w:rsid w:val="008A17B2"/>
    <w:rsid w:val="008A20C9"/>
    <w:rsid w:val="008A2381"/>
    <w:rsid w:val="008A3C0A"/>
    <w:rsid w:val="008A436E"/>
    <w:rsid w:val="008B52DA"/>
    <w:rsid w:val="008B5804"/>
    <w:rsid w:val="008C2E8A"/>
    <w:rsid w:val="008C3869"/>
    <w:rsid w:val="008D2AF0"/>
    <w:rsid w:val="008D7986"/>
    <w:rsid w:val="008E0E09"/>
    <w:rsid w:val="008E6A61"/>
    <w:rsid w:val="008F041A"/>
    <w:rsid w:val="008F17CA"/>
    <w:rsid w:val="008F34B0"/>
    <w:rsid w:val="00903FE7"/>
    <w:rsid w:val="00921B9A"/>
    <w:rsid w:val="009235B0"/>
    <w:rsid w:val="0092500E"/>
    <w:rsid w:val="0092564D"/>
    <w:rsid w:val="00932BDB"/>
    <w:rsid w:val="009413EF"/>
    <w:rsid w:val="00946599"/>
    <w:rsid w:val="00946873"/>
    <w:rsid w:val="00954BB4"/>
    <w:rsid w:val="009620E2"/>
    <w:rsid w:val="0096275B"/>
    <w:rsid w:val="00962EA3"/>
    <w:rsid w:val="00967AD4"/>
    <w:rsid w:val="009712CC"/>
    <w:rsid w:val="00973884"/>
    <w:rsid w:val="009775F3"/>
    <w:rsid w:val="0098442E"/>
    <w:rsid w:val="00985711"/>
    <w:rsid w:val="00986E9D"/>
    <w:rsid w:val="00991E91"/>
    <w:rsid w:val="009A268C"/>
    <w:rsid w:val="009A2B3B"/>
    <w:rsid w:val="009A32C3"/>
    <w:rsid w:val="009A40F0"/>
    <w:rsid w:val="009A454D"/>
    <w:rsid w:val="009B4A65"/>
    <w:rsid w:val="009C33F8"/>
    <w:rsid w:val="009C59E4"/>
    <w:rsid w:val="009D2F14"/>
    <w:rsid w:val="009D53E9"/>
    <w:rsid w:val="009D5C24"/>
    <w:rsid w:val="009E40C9"/>
    <w:rsid w:val="009E5B6D"/>
    <w:rsid w:val="009F19E6"/>
    <w:rsid w:val="009F254E"/>
    <w:rsid w:val="009F33F2"/>
    <w:rsid w:val="00A0001C"/>
    <w:rsid w:val="00A01144"/>
    <w:rsid w:val="00A02BE4"/>
    <w:rsid w:val="00A04841"/>
    <w:rsid w:val="00A06AE5"/>
    <w:rsid w:val="00A235F5"/>
    <w:rsid w:val="00A23AC8"/>
    <w:rsid w:val="00A32E9D"/>
    <w:rsid w:val="00A478CE"/>
    <w:rsid w:val="00A47F00"/>
    <w:rsid w:val="00A55035"/>
    <w:rsid w:val="00A72501"/>
    <w:rsid w:val="00A75DBD"/>
    <w:rsid w:val="00AA0A78"/>
    <w:rsid w:val="00AA1AC3"/>
    <w:rsid w:val="00AA20B5"/>
    <w:rsid w:val="00AA29BC"/>
    <w:rsid w:val="00AA4620"/>
    <w:rsid w:val="00AA49CE"/>
    <w:rsid w:val="00AB526B"/>
    <w:rsid w:val="00AC2792"/>
    <w:rsid w:val="00AC7A2B"/>
    <w:rsid w:val="00AE2073"/>
    <w:rsid w:val="00AF3A62"/>
    <w:rsid w:val="00AF4961"/>
    <w:rsid w:val="00AF4A76"/>
    <w:rsid w:val="00B00F85"/>
    <w:rsid w:val="00B045DB"/>
    <w:rsid w:val="00B04C14"/>
    <w:rsid w:val="00B1114E"/>
    <w:rsid w:val="00B11750"/>
    <w:rsid w:val="00B2183D"/>
    <w:rsid w:val="00B242B7"/>
    <w:rsid w:val="00B26BD7"/>
    <w:rsid w:val="00B3191F"/>
    <w:rsid w:val="00B34B7C"/>
    <w:rsid w:val="00B35D7F"/>
    <w:rsid w:val="00B36967"/>
    <w:rsid w:val="00B40DE1"/>
    <w:rsid w:val="00B4282F"/>
    <w:rsid w:val="00B508DA"/>
    <w:rsid w:val="00B51331"/>
    <w:rsid w:val="00B53EC6"/>
    <w:rsid w:val="00B6015C"/>
    <w:rsid w:val="00B649D6"/>
    <w:rsid w:val="00B6676D"/>
    <w:rsid w:val="00B70354"/>
    <w:rsid w:val="00B8022D"/>
    <w:rsid w:val="00B85EEC"/>
    <w:rsid w:val="00B93311"/>
    <w:rsid w:val="00B94962"/>
    <w:rsid w:val="00B97DB8"/>
    <w:rsid w:val="00BA32FA"/>
    <w:rsid w:val="00BA69D6"/>
    <w:rsid w:val="00BC27C6"/>
    <w:rsid w:val="00BC2C61"/>
    <w:rsid w:val="00BC4FDD"/>
    <w:rsid w:val="00BD5311"/>
    <w:rsid w:val="00BE0DA5"/>
    <w:rsid w:val="00BE5180"/>
    <w:rsid w:val="00BF0F36"/>
    <w:rsid w:val="00BF6163"/>
    <w:rsid w:val="00C03105"/>
    <w:rsid w:val="00C13178"/>
    <w:rsid w:val="00C14312"/>
    <w:rsid w:val="00C2177D"/>
    <w:rsid w:val="00C220B4"/>
    <w:rsid w:val="00C273DB"/>
    <w:rsid w:val="00C277D9"/>
    <w:rsid w:val="00C30247"/>
    <w:rsid w:val="00C30D5B"/>
    <w:rsid w:val="00C31166"/>
    <w:rsid w:val="00C3463A"/>
    <w:rsid w:val="00C351F2"/>
    <w:rsid w:val="00C35A74"/>
    <w:rsid w:val="00C3601B"/>
    <w:rsid w:val="00C433E4"/>
    <w:rsid w:val="00C437F6"/>
    <w:rsid w:val="00C43B7D"/>
    <w:rsid w:val="00C44B22"/>
    <w:rsid w:val="00C44DB6"/>
    <w:rsid w:val="00C46536"/>
    <w:rsid w:val="00C52DA8"/>
    <w:rsid w:val="00C5681E"/>
    <w:rsid w:val="00C56D6B"/>
    <w:rsid w:val="00C572A0"/>
    <w:rsid w:val="00C67E5F"/>
    <w:rsid w:val="00C711AC"/>
    <w:rsid w:val="00C7336B"/>
    <w:rsid w:val="00C7746D"/>
    <w:rsid w:val="00C82173"/>
    <w:rsid w:val="00C83AC6"/>
    <w:rsid w:val="00C92B55"/>
    <w:rsid w:val="00CA5FCF"/>
    <w:rsid w:val="00CB0D83"/>
    <w:rsid w:val="00CB67F3"/>
    <w:rsid w:val="00CC00A4"/>
    <w:rsid w:val="00CC01EE"/>
    <w:rsid w:val="00CC0A9A"/>
    <w:rsid w:val="00CC6810"/>
    <w:rsid w:val="00CE12A4"/>
    <w:rsid w:val="00CE4F92"/>
    <w:rsid w:val="00CF03BE"/>
    <w:rsid w:val="00CF319F"/>
    <w:rsid w:val="00D02218"/>
    <w:rsid w:val="00D043D8"/>
    <w:rsid w:val="00D05B13"/>
    <w:rsid w:val="00D10EDC"/>
    <w:rsid w:val="00D123E5"/>
    <w:rsid w:val="00D12CA9"/>
    <w:rsid w:val="00D14B6A"/>
    <w:rsid w:val="00D1779D"/>
    <w:rsid w:val="00D201BA"/>
    <w:rsid w:val="00D31130"/>
    <w:rsid w:val="00D32BC1"/>
    <w:rsid w:val="00D36B79"/>
    <w:rsid w:val="00D36E97"/>
    <w:rsid w:val="00D45BDC"/>
    <w:rsid w:val="00D50797"/>
    <w:rsid w:val="00D62D2B"/>
    <w:rsid w:val="00D6430E"/>
    <w:rsid w:val="00D66121"/>
    <w:rsid w:val="00D70D43"/>
    <w:rsid w:val="00D856A3"/>
    <w:rsid w:val="00D95D5F"/>
    <w:rsid w:val="00DA444C"/>
    <w:rsid w:val="00DA4ABA"/>
    <w:rsid w:val="00DA6F54"/>
    <w:rsid w:val="00DC51F2"/>
    <w:rsid w:val="00DC6614"/>
    <w:rsid w:val="00DD2DFD"/>
    <w:rsid w:val="00DD4AE2"/>
    <w:rsid w:val="00DD7797"/>
    <w:rsid w:val="00DE34F6"/>
    <w:rsid w:val="00DE434B"/>
    <w:rsid w:val="00DE4AD7"/>
    <w:rsid w:val="00DE5B07"/>
    <w:rsid w:val="00DF015E"/>
    <w:rsid w:val="00DF05EB"/>
    <w:rsid w:val="00E0362A"/>
    <w:rsid w:val="00E069B5"/>
    <w:rsid w:val="00E12C05"/>
    <w:rsid w:val="00E143A5"/>
    <w:rsid w:val="00E16C35"/>
    <w:rsid w:val="00E171FC"/>
    <w:rsid w:val="00E234BB"/>
    <w:rsid w:val="00E41008"/>
    <w:rsid w:val="00E41D88"/>
    <w:rsid w:val="00E436BF"/>
    <w:rsid w:val="00E43C7C"/>
    <w:rsid w:val="00E44181"/>
    <w:rsid w:val="00E44B0A"/>
    <w:rsid w:val="00E510C6"/>
    <w:rsid w:val="00E53FF0"/>
    <w:rsid w:val="00E571A7"/>
    <w:rsid w:val="00E75092"/>
    <w:rsid w:val="00E82E60"/>
    <w:rsid w:val="00E839B2"/>
    <w:rsid w:val="00E844B3"/>
    <w:rsid w:val="00E87BEC"/>
    <w:rsid w:val="00E9379B"/>
    <w:rsid w:val="00EB02DE"/>
    <w:rsid w:val="00EB66BC"/>
    <w:rsid w:val="00EC092F"/>
    <w:rsid w:val="00EC2C3B"/>
    <w:rsid w:val="00EC478A"/>
    <w:rsid w:val="00EC5C45"/>
    <w:rsid w:val="00EC798D"/>
    <w:rsid w:val="00ED256A"/>
    <w:rsid w:val="00ED50A9"/>
    <w:rsid w:val="00ED6D99"/>
    <w:rsid w:val="00ED7CEF"/>
    <w:rsid w:val="00EE472E"/>
    <w:rsid w:val="00EF1A7B"/>
    <w:rsid w:val="00EF4909"/>
    <w:rsid w:val="00EF7335"/>
    <w:rsid w:val="00F02051"/>
    <w:rsid w:val="00F04FCF"/>
    <w:rsid w:val="00F05082"/>
    <w:rsid w:val="00F15548"/>
    <w:rsid w:val="00F16844"/>
    <w:rsid w:val="00F22170"/>
    <w:rsid w:val="00F22C9D"/>
    <w:rsid w:val="00F31CA9"/>
    <w:rsid w:val="00F32FA1"/>
    <w:rsid w:val="00F3595E"/>
    <w:rsid w:val="00F3700C"/>
    <w:rsid w:val="00F42AC6"/>
    <w:rsid w:val="00F51EA5"/>
    <w:rsid w:val="00F525BA"/>
    <w:rsid w:val="00F5275A"/>
    <w:rsid w:val="00F56755"/>
    <w:rsid w:val="00F64512"/>
    <w:rsid w:val="00F64CCA"/>
    <w:rsid w:val="00F651AF"/>
    <w:rsid w:val="00F67634"/>
    <w:rsid w:val="00F7530E"/>
    <w:rsid w:val="00F77C8A"/>
    <w:rsid w:val="00F804B6"/>
    <w:rsid w:val="00F807CE"/>
    <w:rsid w:val="00F814FE"/>
    <w:rsid w:val="00F81BE2"/>
    <w:rsid w:val="00F825DF"/>
    <w:rsid w:val="00F87E07"/>
    <w:rsid w:val="00F901DA"/>
    <w:rsid w:val="00FA26C4"/>
    <w:rsid w:val="00FB0450"/>
    <w:rsid w:val="00FB0B1A"/>
    <w:rsid w:val="00FB5891"/>
    <w:rsid w:val="00FC6732"/>
    <w:rsid w:val="00FD0024"/>
    <w:rsid w:val="00FD3EC9"/>
    <w:rsid w:val="00FE219F"/>
    <w:rsid w:val="00FF0C26"/>
    <w:rsid w:val="00FF4AED"/>
    <w:rsid w:val="00FF4F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6128C643"/>
  <w15:docId w15:val="{6726A1F7-313D-4A5D-AD1D-BFBC2A621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4 Accent 5" w:uiPriority="49"/>
  </w:latentStyles>
  <w:style w:type="paragraph" w:default="1" w:styleId="Normal">
    <w:name w:val="Normal"/>
    <w:qFormat/>
  </w:style>
  <w:style w:type="paragraph" w:styleId="Heading1">
    <w:name w:val="heading 1"/>
    <w:basedOn w:val="Normal"/>
    <w:next w:val="Normal"/>
    <w:link w:val="Heading1Char"/>
    <w:uiPriority w:val="9"/>
    <w:qFormat/>
    <w:rsid w:val="00D70D43"/>
    <w:pPr>
      <w:keepNext/>
      <w:keepLines/>
      <w:widowControl w:val="0"/>
      <w:autoSpaceDE w:val="0"/>
      <w:autoSpaceDN w:val="0"/>
      <w:adjustRightInd w:val="0"/>
      <w:spacing w:before="100" w:after="100" w:line="240" w:lineRule="auto"/>
      <w:ind w:left="720"/>
      <w:jc w:val="center"/>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8B52DA"/>
    <w:pPr>
      <w:keepNext/>
      <w:keepLines/>
      <w:widowControl w:val="0"/>
      <w:autoSpaceDE w:val="0"/>
      <w:autoSpaceDN w:val="0"/>
      <w:adjustRightInd w:val="0"/>
      <w:spacing w:before="40" w:after="0" w:line="240" w:lineRule="auto"/>
      <w:outlineLvl w:val="1"/>
    </w:pPr>
    <w:rPr>
      <w:rFonts w:asciiTheme="majorHAnsi" w:eastAsiaTheme="majorEastAsia" w:hAnsiTheme="majorHAnsi" w:cstheme="majorBidi"/>
      <w:b/>
      <w:color w:val="2E74B5" w:themeColor="accent1" w:themeShade="BF"/>
      <w:sz w:val="26"/>
      <w:szCs w:val="26"/>
    </w:rPr>
  </w:style>
  <w:style w:type="paragraph" w:styleId="Heading3">
    <w:name w:val="heading 3"/>
    <w:basedOn w:val="Normal"/>
    <w:next w:val="Normal"/>
    <w:link w:val="Heading3Char"/>
    <w:uiPriority w:val="9"/>
    <w:unhideWhenUsed/>
    <w:qFormat/>
    <w:rsid w:val="00D70D43"/>
    <w:pPr>
      <w:keepNext/>
      <w:keepLines/>
      <w:widowControl w:val="0"/>
      <w:autoSpaceDE w:val="0"/>
      <w:autoSpaceDN w:val="0"/>
      <w:adjustRightInd w:val="0"/>
      <w:spacing w:before="40" w:after="0" w:line="240" w:lineRule="auto"/>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D70D43"/>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D70D43"/>
    <w:pPr>
      <w:keepNext/>
      <w:keepLines/>
      <w:widowControl w:val="0"/>
      <w:autoSpaceDE w:val="0"/>
      <w:autoSpaceDN w:val="0"/>
      <w:adjustRightInd w:val="0"/>
      <w:spacing w:before="40" w:after="0" w:line="240" w:lineRule="auto"/>
      <w:outlineLvl w:val="4"/>
    </w:pPr>
    <w:rPr>
      <w:rFonts w:asciiTheme="majorHAnsi" w:eastAsiaTheme="majorEastAsia" w:hAnsiTheme="majorHAnsi" w:cstheme="majorBidi"/>
      <w:color w:val="2E74B5" w:themeColor="accent1"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2">
    <w:name w:val="Style2"/>
    <w:basedOn w:val="DefaultParagraphFont"/>
    <w:uiPriority w:val="1"/>
    <w:rsid w:val="00BF20B1"/>
    <w:rPr>
      <w:rFonts w:asciiTheme="minorHAnsi" w:hAnsiTheme="minorHAnsi"/>
      <w:sz w:val="18"/>
    </w:rPr>
  </w:style>
  <w:style w:type="paragraph" w:styleId="Header">
    <w:name w:val="header"/>
    <w:basedOn w:val="Normal"/>
    <w:link w:val="HeaderChar"/>
    <w:uiPriority w:val="99"/>
    <w:unhideWhenUsed/>
    <w:rsid w:val="00E143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43A5"/>
  </w:style>
  <w:style w:type="paragraph" w:styleId="Footer">
    <w:name w:val="footer"/>
    <w:basedOn w:val="Normal"/>
    <w:link w:val="FooterChar"/>
    <w:uiPriority w:val="99"/>
    <w:unhideWhenUsed/>
    <w:rsid w:val="00E143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43A5"/>
  </w:style>
  <w:style w:type="table" w:customStyle="1" w:styleId="TableGrid3">
    <w:name w:val="Table Grid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14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43A5"/>
    <w:rPr>
      <w:rFonts w:ascii="Tahoma" w:hAnsi="Tahoma" w:cs="Tahoma"/>
      <w:sz w:val="16"/>
      <w:szCs w:val="16"/>
    </w:rPr>
  </w:style>
  <w:style w:type="table" w:styleId="TableGrid">
    <w:name w:val="Table Grid"/>
    <w:aliases w:val="Document Table"/>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143A5"/>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655080"/>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655080"/>
    <w:rPr>
      <w:color w:val="808080"/>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0B353C"/>
    <w:pPr>
      <w:ind w:left="720"/>
      <w:contextualSpacing/>
    </w:pPr>
  </w:style>
  <w:style w:type="table" w:customStyle="1" w:styleId="TableGrid5">
    <w:name w:val="Table Grid5"/>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1E562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EC6702"/>
    <w:rPr>
      <w:rFonts w:cs="Times New Roman"/>
      <w:color w:val="0000FF"/>
      <w:u w:val="single"/>
    </w:rPr>
  </w:style>
  <w:style w:type="character" w:styleId="CommentReference">
    <w:name w:val="annotation reference"/>
    <w:basedOn w:val="DefaultParagraphFont"/>
    <w:uiPriority w:val="99"/>
    <w:rsid w:val="00D54C99"/>
    <w:rPr>
      <w:sz w:val="16"/>
      <w:szCs w:val="16"/>
    </w:rPr>
  </w:style>
  <w:style w:type="paragraph" w:styleId="CommentText">
    <w:name w:val="annotation text"/>
    <w:basedOn w:val="Normal"/>
    <w:link w:val="CommentTextChar"/>
    <w:uiPriority w:val="99"/>
    <w:unhideWhenUsed/>
    <w:rsid w:val="00D54C99"/>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CommentTextChar">
    <w:name w:val="Comment Text Char"/>
    <w:basedOn w:val="DefaultParagraphFont"/>
    <w:link w:val="CommentText"/>
    <w:uiPriority w:val="99"/>
    <w:rsid w:val="00D54C99"/>
    <w:rPr>
      <w:rFonts w:ascii="Arial" w:eastAsiaTheme="minorEastAsia" w:hAnsi="Arial" w:cs="Arial"/>
      <w:color w:val="000000"/>
      <w:sz w:val="20"/>
      <w:szCs w:val="20"/>
    </w:rPr>
  </w:style>
  <w:style w:type="paragraph" w:customStyle="1" w:styleId="Normal0">
    <w:name w:val="Normal_0"/>
    <w:qFormat/>
  </w:style>
  <w:style w:type="paragraph" w:customStyle="1" w:styleId="Normal1">
    <w:name w:val="Normal_1"/>
    <w:qFormat/>
  </w:style>
  <w:style w:type="paragraph" w:customStyle="1" w:styleId="Normal2">
    <w:name w:val="Normal_2"/>
    <w:qFormat/>
  </w:style>
  <w:style w:type="paragraph" w:customStyle="1" w:styleId="Normal3">
    <w:name w:val="Normal_3"/>
    <w:qFormat/>
  </w:style>
  <w:style w:type="paragraph" w:customStyle="1" w:styleId="Normal4">
    <w:name w:val="Normal_4"/>
    <w:qFormat/>
  </w:style>
  <w:style w:type="paragraph" w:customStyle="1" w:styleId="Normal5">
    <w:name w:val="Normal_5"/>
    <w:qFormat/>
  </w:style>
  <w:style w:type="paragraph" w:customStyle="1" w:styleId="Normal6">
    <w:name w:val="Normal_6"/>
    <w:qFormat/>
  </w:style>
  <w:style w:type="paragraph" w:customStyle="1" w:styleId="Normal7">
    <w:name w:val="Normal_7"/>
    <w:qFormat/>
  </w:style>
  <w:style w:type="paragraph" w:customStyle="1" w:styleId="Normal8">
    <w:name w:val="Normal_8"/>
    <w:qFormat/>
  </w:style>
  <w:style w:type="paragraph" w:customStyle="1" w:styleId="Normal9">
    <w:name w:val="Normal_9"/>
    <w:qFormat/>
  </w:style>
  <w:style w:type="paragraph" w:customStyle="1" w:styleId="Normal10">
    <w:name w:val="Normal_10"/>
    <w:qFormat/>
  </w:style>
  <w:style w:type="paragraph" w:customStyle="1" w:styleId="Normal11">
    <w:name w:val="Normal_11"/>
    <w:qFormat/>
  </w:style>
  <w:style w:type="paragraph" w:customStyle="1" w:styleId="Normal12">
    <w:name w:val="Normal_12"/>
    <w:qFormat/>
  </w:style>
  <w:style w:type="paragraph" w:customStyle="1" w:styleId="Normal13">
    <w:name w:val="Normal_13"/>
    <w:qFormat/>
  </w:style>
  <w:style w:type="paragraph" w:customStyle="1" w:styleId="Normal14">
    <w:name w:val="Normal_14"/>
    <w:qFormat/>
  </w:style>
  <w:style w:type="paragraph" w:customStyle="1" w:styleId="Normal15">
    <w:name w:val="Normal_15"/>
    <w:qFormat/>
  </w:style>
  <w:style w:type="paragraph" w:customStyle="1" w:styleId="Normal16">
    <w:name w:val="Normal_16"/>
    <w:qFormat/>
  </w:style>
  <w:style w:type="paragraph" w:customStyle="1" w:styleId="Normal17">
    <w:name w:val="Normal_17"/>
    <w:qFormat/>
  </w:style>
  <w:style w:type="paragraph" w:customStyle="1" w:styleId="Normal18">
    <w:name w:val="Normal_18"/>
    <w:qFormat/>
  </w:style>
  <w:style w:type="paragraph" w:customStyle="1" w:styleId="Normal19">
    <w:name w:val="Normal_19"/>
    <w:qFormat/>
  </w:style>
  <w:style w:type="paragraph" w:customStyle="1" w:styleId="Normal20">
    <w:name w:val="Normal_20"/>
    <w:qFormat/>
  </w:style>
  <w:style w:type="paragraph" w:customStyle="1" w:styleId="Normal21">
    <w:name w:val="Normal_21"/>
    <w:qFormat/>
  </w:style>
  <w:style w:type="paragraph" w:customStyle="1" w:styleId="Normal22">
    <w:name w:val="Normal_22"/>
    <w:qFormat/>
  </w:style>
  <w:style w:type="paragraph" w:customStyle="1" w:styleId="Normal23">
    <w:name w:val="Normal_23"/>
    <w:qFormat/>
  </w:style>
  <w:style w:type="paragraph" w:customStyle="1" w:styleId="Normal24">
    <w:name w:val="Normal_24"/>
    <w:qFormat/>
  </w:style>
  <w:style w:type="paragraph" w:customStyle="1" w:styleId="Normal25">
    <w:name w:val="Normal_25"/>
    <w:qFormat/>
  </w:style>
  <w:style w:type="paragraph" w:customStyle="1" w:styleId="Normal26">
    <w:name w:val="Normal_26"/>
    <w:qFormat/>
  </w:style>
  <w:style w:type="paragraph" w:customStyle="1" w:styleId="Normal27">
    <w:name w:val="Normal_27"/>
    <w:qFormat/>
  </w:style>
  <w:style w:type="paragraph" w:customStyle="1" w:styleId="Normal28">
    <w:name w:val="Normal_28"/>
    <w:qFormat/>
  </w:style>
  <w:style w:type="paragraph" w:customStyle="1" w:styleId="Normal29">
    <w:name w:val="Normal_29"/>
    <w:qFormat/>
  </w:style>
  <w:style w:type="paragraph" w:customStyle="1" w:styleId="Normal30">
    <w:name w:val="Normal_30"/>
    <w:qFormat/>
  </w:style>
  <w:style w:type="paragraph" w:customStyle="1" w:styleId="Normal31">
    <w:name w:val="Normal_31"/>
    <w:qFormat/>
  </w:style>
  <w:style w:type="paragraph" w:customStyle="1" w:styleId="Normal32">
    <w:name w:val="Normal_32"/>
    <w:qFormat/>
  </w:style>
  <w:style w:type="paragraph" w:customStyle="1" w:styleId="Normal33">
    <w:name w:val="Normal_33"/>
    <w:qFormat/>
  </w:style>
  <w:style w:type="paragraph" w:customStyle="1" w:styleId="Normal34">
    <w:name w:val="Normal_34"/>
    <w:qFormat/>
  </w:style>
  <w:style w:type="paragraph" w:customStyle="1" w:styleId="Normal35">
    <w:name w:val="Normal_35"/>
    <w:qFormat/>
  </w:style>
  <w:style w:type="paragraph" w:customStyle="1" w:styleId="Normal36">
    <w:name w:val="Normal_36"/>
    <w:qFormat/>
  </w:style>
  <w:style w:type="paragraph" w:customStyle="1" w:styleId="Normal37">
    <w:name w:val="Normal_37"/>
    <w:qFormat/>
  </w:style>
  <w:style w:type="paragraph" w:customStyle="1" w:styleId="Normal38">
    <w:name w:val="Normal_38"/>
    <w:qFormat/>
  </w:style>
  <w:style w:type="paragraph" w:customStyle="1" w:styleId="Normal39">
    <w:name w:val="Normal_39"/>
    <w:qFormat/>
  </w:style>
  <w:style w:type="paragraph" w:customStyle="1" w:styleId="Normal40">
    <w:name w:val="Normal_40"/>
    <w:qFormat/>
  </w:style>
  <w:style w:type="paragraph" w:customStyle="1" w:styleId="Normal41">
    <w:name w:val="Normal_41"/>
    <w:qFormat/>
  </w:style>
  <w:style w:type="paragraph" w:customStyle="1" w:styleId="Normal42">
    <w:name w:val="Normal_42"/>
    <w:qFormat/>
  </w:style>
  <w:style w:type="paragraph" w:customStyle="1" w:styleId="Normal43">
    <w:name w:val="Normal_43"/>
    <w:qFormat/>
  </w:style>
  <w:style w:type="paragraph" w:customStyle="1" w:styleId="Normal44">
    <w:name w:val="Normal_44"/>
    <w:qFormat/>
  </w:style>
  <w:style w:type="paragraph" w:customStyle="1" w:styleId="Normal45">
    <w:name w:val="Normal_45"/>
    <w:qFormat/>
  </w:style>
  <w:style w:type="paragraph" w:customStyle="1" w:styleId="Normal46">
    <w:name w:val="Normal_46"/>
    <w:qFormat/>
  </w:style>
  <w:style w:type="paragraph" w:customStyle="1" w:styleId="Normal47">
    <w:name w:val="Normal_47"/>
    <w:qFormat/>
  </w:style>
  <w:style w:type="paragraph" w:customStyle="1" w:styleId="Normal48">
    <w:name w:val="Normal_48"/>
    <w:qFormat/>
  </w:style>
  <w:style w:type="paragraph" w:customStyle="1" w:styleId="Normal49">
    <w:name w:val="Normal_49"/>
    <w:qFormat/>
  </w:style>
  <w:style w:type="paragraph" w:customStyle="1" w:styleId="Normal50">
    <w:name w:val="Normal_50"/>
    <w:qFormat/>
  </w:style>
  <w:style w:type="paragraph" w:customStyle="1" w:styleId="Normal51">
    <w:name w:val="Normal_51"/>
    <w:qFormat/>
  </w:style>
  <w:style w:type="paragraph" w:customStyle="1" w:styleId="Normal52">
    <w:name w:val="Normal_52"/>
    <w:qFormat/>
  </w:style>
  <w:style w:type="paragraph" w:customStyle="1" w:styleId="Normal53">
    <w:name w:val="Normal_53"/>
    <w:qFormat/>
  </w:style>
  <w:style w:type="paragraph" w:customStyle="1" w:styleId="Normal54">
    <w:name w:val="Normal_54"/>
    <w:qFormat/>
  </w:style>
  <w:style w:type="paragraph" w:customStyle="1" w:styleId="Normal55">
    <w:name w:val="Normal_55"/>
    <w:qFormat/>
  </w:style>
  <w:style w:type="paragraph" w:customStyle="1" w:styleId="Normal56">
    <w:name w:val="Normal_56"/>
    <w:qFormat/>
  </w:style>
  <w:style w:type="paragraph" w:customStyle="1" w:styleId="Normal57">
    <w:name w:val="Normal_57"/>
    <w:qFormat/>
  </w:style>
  <w:style w:type="table" w:customStyle="1" w:styleId="TableGrid11">
    <w:name w:val="Table Grid11"/>
    <w:basedOn w:val="TableNormal"/>
    <w:next w:val="TableGrid"/>
    <w:uiPriority w:val="39"/>
    <w:rsid w:val="009235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23">
    <w:name w:val="Normal_1_23"/>
    <w:qFormat/>
    <w:rsid w:val="001A1A8B"/>
    <w:rPr>
      <w:rFonts w:ascii="Calibri" w:eastAsia="Calibri" w:hAnsi="Calibri" w:cs="Times New Roman"/>
    </w:rPr>
  </w:style>
  <w:style w:type="character" w:customStyle="1" w:styleId="Heading2Char">
    <w:name w:val="Heading 2 Char"/>
    <w:basedOn w:val="DefaultParagraphFont"/>
    <w:link w:val="Heading2"/>
    <w:uiPriority w:val="9"/>
    <w:rsid w:val="008B52DA"/>
    <w:rPr>
      <w:rFonts w:asciiTheme="majorHAnsi" w:eastAsiaTheme="majorEastAsia" w:hAnsiTheme="majorHAnsi" w:cstheme="majorBidi"/>
      <w:b/>
      <w:color w:val="2E74B5" w:themeColor="accent1" w:themeShade="BF"/>
      <w:sz w:val="26"/>
      <w:szCs w:val="26"/>
    </w:rPr>
  </w:style>
  <w:style w:type="paragraph" w:styleId="FootnoteText">
    <w:name w:val="footnote text"/>
    <w:aliases w:val="Boston 10,F,FOOTNOTES,Font: Geneva 9,Footnote,Footnote Text Char Char,Footnote Text Char1,Footnote Text Char1 Char Char,Footnote Text Char2 Char,Footnote text,Geneva 9,Texto nota pie Car,f,fn,footnote text,ft,single space,single spacing"/>
    <w:basedOn w:val="Normal"/>
    <w:link w:val="FootnoteTextChar"/>
    <w:uiPriority w:val="99"/>
    <w:unhideWhenUsed/>
    <w:qFormat/>
    <w:rsid w:val="008B52DA"/>
    <w:pPr>
      <w:widowControl w:val="0"/>
      <w:autoSpaceDE w:val="0"/>
      <w:autoSpaceDN w:val="0"/>
      <w:adjustRightInd w:val="0"/>
      <w:spacing w:after="0" w:line="240" w:lineRule="auto"/>
    </w:pPr>
    <w:rPr>
      <w:rFonts w:eastAsiaTheme="minorEastAsia" w:cs="Arial"/>
      <w:color w:val="000000"/>
      <w:sz w:val="18"/>
      <w:szCs w:val="20"/>
    </w:rPr>
  </w:style>
  <w:style w:type="character" w:customStyle="1" w:styleId="FootnoteTextChar">
    <w:name w:val="Footnote Text Char"/>
    <w:aliases w:val="Boston 10 Char,F Char,FOOTNOTES Char,Font: Geneva 9 Char,Footnote Char,Footnote Text Char Char Char,Footnote Text Char1 Char,Footnote Text Char1 Char Char Char,Footnote Text Char2 Char Char,Footnote text Char,Geneva 9 Char,f Char"/>
    <w:basedOn w:val="DefaultParagraphFont"/>
    <w:link w:val="FootnoteText"/>
    <w:uiPriority w:val="99"/>
    <w:rsid w:val="008B52DA"/>
    <w:rPr>
      <w:rFonts w:eastAsiaTheme="minorEastAsia" w:cs="Arial"/>
      <w:color w:val="000000"/>
      <w:sz w:val="18"/>
      <w:szCs w:val="20"/>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8B52DA"/>
  </w:style>
  <w:style w:type="character" w:styleId="FootnoteReference">
    <w:name w:val="footnote reference"/>
    <w:aliases w:val=" BVI fnr,(NECG) Footnote Reference,16 Point,BVI fnr,Footnote Reference Number,Footnote Reference_LVL6,Footnote Reference_LVL61,Footnote Reference_LVL62,Ref,Superscript 6 Point,footnote ref,fr,ftref,referencia nota al pie,Знак сноски 1"/>
    <w:basedOn w:val="DefaultParagraphFont"/>
    <w:link w:val="BVIfnrCarCarCarCarChar"/>
    <w:uiPriority w:val="99"/>
    <w:unhideWhenUsed/>
    <w:qFormat/>
    <w:rsid w:val="008B52DA"/>
    <w:rPr>
      <w:vertAlign w:val="superscript"/>
    </w:rPr>
  </w:style>
  <w:style w:type="paragraph" w:customStyle="1" w:styleId="BVIfnrCarCarCarCarChar">
    <w:name w:val="BVI fnr Car Car Car Car Char"/>
    <w:basedOn w:val="Normal"/>
    <w:link w:val="FootnoteReference"/>
    <w:uiPriority w:val="99"/>
    <w:rsid w:val="008B52DA"/>
    <w:pPr>
      <w:widowControl w:val="0"/>
      <w:adjustRightInd w:val="0"/>
      <w:spacing w:line="240" w:lineRule="exact"/>
      <w:jc w:val="both"/>
    </w:pPr>
    <w:rPr>
      <w:vertAlign w:val="superscript"/>
    </w:rPr>
  </w:style>
  <w:style w:type="table" w:customStyle="1" w:styleId="TableGrid0">
    <w:name w:val="Table Grid_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_0"/>
    <w:basedOn w:val="TableNormal"/>
    <w:next w:val="TableGrid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0">
    <w:name w:val="Table Grid14_0"/>
    <w:basedOn w:val="TableNormal"/>
    <w:next w:val="TableGrid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_1"/>
    <w:basedOn w:val="TableNormal"/>
    <w:next w:val="TableGrid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_1"/>
    <w:basedOn w:val="TableNormal"/>
    <w:next w:val="TableGrid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_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
    <w:name w:val="Table Grid2_2"/>
    <w:basedOn w:val="TableNormal"/>
    <w:next w:val="TableGrid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_2"/>
    <w:basedOn w:val="TableNormal"/>
    <w:next w:val="TableGrid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
    <w:name w:val="Table Grid_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_3"/>
    <w:basedOn w:val="TableNormal"/>
    <w:next w:val="TableGrid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
    <w:name w:val="Table Grid14_3"/>
    <w:basedOn w:val="TableNormal"/>
    <w:next w:val="TableGrid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
    <w:name w:val="Table Grid_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_4"/>
    <w:basedOn w:val="TableNormal"/>
    <w:next w:val="TableGrid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4">
    <w:name w:val="Table Grid14_4"/>
    <w:basedOn w:val="TableNormal"/>
    <w:next w:val="TableGrid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 Grid_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
    <w:name w:val="Table Grid2_5"/>
    <w:basedOn w:val="TableNormal"/>
    <w:next w:val="TableGrid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5">
    <w:name w:val="Table Grid14_5"/>
    <w:basedOn w:val="TableNormal"/>
    <w:next w:val="TableGrid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0">
    <w:name w:val="Table Grid_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_6"/>
    <w:basedOn w:val="TableNormal"/>
    <w:next w:val="TableGrid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6">
    <w:name w:val="Table Grid14_6"/>
    <w:basedOn w:val="TableNormal"/>
    <w:next w:val="TableGrid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0">
    <w:name w:val="Table Grid_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
    <w:name w:val="Table Grid2_7"/>
    <w:basedOn w:val="TableNormal"/>
    <w:next w:val="TableGrid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7">
    <w:name w:val="Table Grid14_7"/>
    <w:basedOn w:val="TableNormal"/>
    <w:next w:val="TableGrid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_8"/>
    <w:basedOn w:val="TableNormal"/>
    <w:next w:val="TableGrid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8">
    <w:name w:val="Table Grid14_8"/>
    <w:basedOn w:val="TableNormal"/>
    <w:next w:val="TableGrid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
    <w:name w:val="Table Grid2_9"/>
    <w:basedOn w:val="TableNormal"/>
    <w:next w:val="TableGrid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9">
    <w:name w:val="Table Grid14_9"/>
    <w:basedOn w:val="TableNormal"/>
    <w:next w:val="TableGrid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0">
    <w:name w:val="Table Grid_1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_10"/>
    <w:basedOn w:val="TableNormal"/>
    <w:next w:val="TableGrid1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0">
    <w:name w:val="Table Grid14_10"/>
    <w:basedOn w:val="TableNormal"/>
    <w:next w:val="TableGrid1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_1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_11"/>
    <w:basedOn w:val="TableNormal"/>
    <w:next w:val="TableGrid11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_11"/>
    <w:basedOn w:val="TableNormal"/>
    <w:next w:val="TableGrid11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_12"/>
    <w:basedOn w:val="TableNormal"/>
    <w:next w:val="TableGrid1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2">
    <w:name w:val="Table Grid14_12"/>
    <w:basedOn w:val="TableNormal"/>
    <w:next w:val="TableGrid1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_13"/>
    <w:basedOn w:val="TableNormal"/>
    <w:next w:val="TableGrid1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3">
    <w:name w:val="Table Grid14_13"/>
    <w:basedOn w:val="TableNormal"/>
    <w:next w:val="TableGrid1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a">
    <w:name w:val="Table Grid_1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4">
    <w:name w:val="Table Grid2_14"/>
    <w:basedOn w:val="TableNormal"/>
    <w:next w:val="TableGrid14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4">
    <w:name w:val="Table Grid14_14"/>
    <w:basedOn w:val="TableNormal"/>
    <w:next w:val="TableGrid14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0">
    <w:name w:val="Table Grid_1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5">
    <w:name w:val="Table Grid2_15"/>
    <w:basedOn w:val="TableNormal"/>
    <w:next w:val="TableGrid1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5">
    <w:name w:val="Table Grid14_15"/>
    <w:basedOn w:val="TableNormal"/>
    <w:next w:val="TableGrid1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_1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6">
    <w:name w:val="Table Grid2_16"/>
    <w:basedOn w:val="TableNormal"/>
    <w:next w:val="TableGrid16"/>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6">
    <w:name w:val="Table Grid14_16"/>
    <w:basedOn w:val="TableNormal"/>
    <w:next w:val="TableGrid16"/>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_1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7">
    <w:name w:val="Table Grid2_17"/>
    <w:basedOn w:val="TableNormal"/>
    <w:next w:val="TableGrid17"/>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7">
    <w:name w:val="Table Grid14_17"/>
    <w:basedOn w:val="TableNormal"/>
    <w:next w:val="TableGrid17"/>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_1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8">
    <w:name w:val="Table Grid2_18"/>
    <w:basedOn w:val="TableNormal"/>
    <w:next w:val="TableGrid18"/>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8">
    <w:name w:val="Table Grid14_18"/>
    <w:basedOn w:val="TableNormal"/>
    <w:next w:val="TableGrid18"/>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_1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9">
    <w:name w:val="Table Grid2_19"/>
    <w:basedOn w:val="TableNormal"/>
    <w:next w:val="TableGrid19"/>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9">
    <w:name w:val="Table Grid14_19"/>
    <w:basedOn w:val="TableNormal"/>
    <w:next w:val="TableGrid19"/>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0">
    <w:name w:val="Table Grid_2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00">
    <w:name w:val="Table Grid2_20"/>
    <w:basedOn w:val="TableNormal"/>
    <w:next w:val="TableGrid2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0">
    <w:name w:val="Table Grid14_20"/>
    <w:basedOn w:val="TableNormal"/>
    <w:next w:val="TableGrid2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a">
    <w:name w:val="Table Grid_2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_21"/>
    <w:basedOn w:val="TableNormal"/>
    <w:next w:val="TableGrid21a"/>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1">
    <w:name w:val="Table Grid14_21"/>
    <w:basedOn w:val="TableNormal"/>
    <w:next w:val="TableGrid21a"/>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_2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0">
    <w:name w:val="Table Grid2_22"/>
    <w:basedOn w:val="TableNormal"/>
    <w:next w:val="TableGrid22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2">
    <w:name w:val="Table Grid14_22"/>
    <w:basedOn w:val="TableNormal"/>
    <w:next w:val="TableGrid22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
    <w:name w:val="Table Grid_2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_23"/>
    <w:basedOn w:val="TableNormal"/>
    <w:next w:val="TableGrid23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3">
    <w:name w:val="Table Grid14_23"/>
    <w:basedOn w:val="TableNormal"/>
    <w:next w:val="TableGrid23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0">
    <w:name w:val="Table Grid_2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4">
    <w:name w:val="Table Grid2_24"/>
    <w:basedOn w:val="TableNormal"/>
    <w:next w:val="TableGrid24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4">
    <w:name w:val="Table Grid14_24"/>
    <w:basedOn w:val="TableNormal"/>
    <w:next w:val="TableGrid24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0">
    <w:name w:val="Table Grid_2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5">
    <w:name w:val="Table Grid2_25"/>
    <w:basedOn w:val="TableNormal"/>
    <w:next w:val="TableGrid25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5">
    <w:name w:val="Table Grid14_25"/>
    <w:basedOn w:val="TableNormal"/>
    <w:next w:val="TableGrid25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0">
    <w:name w:val="Table Grid_26"/>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6">
    <w:name w:val="Table Grid2_26"/>
    <w:basedOn w:val="TableNormal"/>
    <w:next w:val="TableGrid26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6">
    <w:name w:val="Table Grid14_26"/>
    <w:basedOn w:val="TableNormal"/>
    <w:next w:val="TableGrid26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70">
    <w:name w:val="Table Grid_27"/>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7">
    <w:name w:val="Table Grid2_27"/>
    <w:basedOn w:val="TableNormal"/>
    <w:next w:val="TableGrid27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7">
    <w:name w:val="Table Grid14_27"/>
    <w:basedOn w:val="TableNormal"/>
    <w:next w:val="TableGrid27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0">
    <w:name w:val="Table Grid_28"/>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8">
    <w:name w:val="Table Grid2_28"/>
    <w:basedOn w:val="TableNormal"/>
    <w:next w:val="TableGrid28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8">
    <w:name w:val="Table Grid14_28"/>
    <w:basedOn w:val="TableNormal"/>
    <w:next w:val="TableGrid28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90">
    <w:name w:val="Table Grid_29"/>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9">
    <w:name w:val="Table Grid2_29"/>
    <w:basedOn w:val="TableNormal"/>
    <w:next w:val="TableGrid29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9">
    <w:name w:val="Table Grid14_29"/>
    <w:basedOn w:val="TableNormal"/>
    <w:next w:val="TableGrid29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0">
    <w:name w:val="Table Grid_30"/>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00">
    <w:name w:val="Table Grid2_30"/>
    <w:basedOn w:val="TableNormal"/>
    <w:next w:val="TableGrid300"/>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0">
    <w:name w:val="Table Grid14_30"/>
    <w:basedOn w:val="TableNormal"/>
    <w:next w:val="TableGrid300"/>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_31"/>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_31"/>
    <w:basedOn w:val="TableNormal"/>
    <w:next w:val="TableGrid31"/>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1">
    <w:name w:val="Table Grid14_31"/>
    <w:basedOn w:val="TableNormal"/>
    <w:next w:val="TableGrid31"/>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_32"/>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2">
    <w:name w:val="Table Grid2_32"/>
    <w:basedOn w:val="TableNormal"/>
    <w:next w:val="TableGrid32"/>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2">
    <w:name w:val="Table Grid14_32"/>
    <w:basedOn w:val="TableNormal"/>
    <w:next w:val="TableGrid32"/>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_33"/>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3">
    <w:name w:val="Table Grid2_33"/>
    <w:basedOn w:val="TableNormal"/>
    <w:next w:val="TableGrid33"/>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3">
    <w:name w:val="Table Grid14_33"/>
    <w:basedOn w:val="TableNormal"/>
    <w:next w:val="TableGrid33"/>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_34"/>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4">
    <w:name w:val="Table Grid2_34"/>
    <w:basedOn w:val="TableNormal"/>
    <w:next w:val="TableGrid34"/>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4">
    <w:name w:val="Table Grid14_34"/>
    <w:basedOn w:val="TableNormal"/>
    <w:next w:val="TableGrid34"/>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
    <w:name w:val="Table Grid_35"/>
    <w:basedOn w:val="TableNormal"/>
    <w:uiPriority w:val="39"/>
    <w:rsid w:val="00E143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5">
    <w:name w:val="Table Grid2_35"/>
    <w:basedOn w:val="TableNormal"/>
    <w:next w:val="TableGrid35"/>
    <w:uiPriority w:val="39"/>
    <w:rsid w:val="006E4A1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35">
    <w:name w:val="Table Grid14_35"/>
    <w:basedOn w:val="TableNormal"/>
    <w:next w:val="TableGrid35"/>
    <w:uiPriority w:val="39"/>
    <w:rsid w:val="002E1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D70D43"/>
    <w:rPr>
      <w:rFonts w:asciiTheme="majorHAnsi" w:eastAsiaTheme="majorEastAsia" w:hAnsiTheme="majorHAnsi" w:cstheme="majorBidi"/>
      <w:i/>
      <w:iCs/>
      <w:color w:val="2E74B5" w:themeColor="accent1" w:themeShade="BF"/>
    </w:rPr>
  </w:style>
  <w:style w:type="character" w:customStyle="1" w:styleId="Heading1Char">
    <w:name w:val="Heading 1 Char"/>
    <w:basedOn w:val="DefaultParagraphFont"/>
    <w:link w:val="Heading1"/>
    <w:uiPriority w:val="9"/>
    <w:rsid w:val="00D70D43"/>
    <w:rPr>
      <w:rFonts w:eastAsiaTheme="majorEastAsia" w:cstheme="majorBidi"/>
      <w:b/>
      <w:szCs w:val="32"/>
    </w:rPr>
  </w:style>
  <w:style w:type="character" w:customStyle="1" w:styleId="Heading3Char">
    <w:name w:val="Heading 3 Char"/>
    <w:basedOn w:val="DefaultParagraphFont"/>
    <w:link w:val="Heading3"/>
    <w:uiPriority w:val="9"/>
    <w:rsid w:val="00D70D43"/>
    <w:rPr>
      <w:rFonts w:asciiTheme="majorHAnsi" w:eastAsiaTheme="majorEastAsia" w:hAnsiTheme="majorHAnsi" w:cstheme="majorBidi"/>
      <w:b/>
      <w:sz w:val="24"/>
      <w:szCs w:val="24"/>
    </w:rPr>
  </w:style>
  <w:style w:type="character" w:customStyle="1" w:styleId="Heading5Char">
    <w:name w:val="Heading 5 Char"/>
    <w:basedOn w:val="DefaultParagraphFont"/>
    <w:link w:val="Heading5"/>
    <w:uiPriority w:val="9"/>
    <w:semiHidden/>
    <w:rsid w:val="00D70D43"/>
    <w:rPr>
      <w:rFonts w:asciiTheme="majorHAnsi" w:eastAsiaTheme="majorEastAsia" w:hAnsiTheme="majorHAnsi" w:cstheme="majorBidi"/>
      <w:color w:val="2E74B5" w:themeColor="accent1" w:themeShade="BF"/>
      <w:sz w:val="24"/>
      <w:szCs w:val="24"/>
    </w:rPr>
  </w:style>
  <w:style w:type="paragraph" w:styleId="BodyText">
    <w:name w:val="Body Text"/>
    <w:basedOn w:val="Normal"/>
    <w:link w:val="BodyTextChar"/>
    <w:uiPriority w:val="1"/>
    <w:semiHidden/>
    <w:unhideWhenUsed/>
    <w:qFormat/>
    <w:rsid w:val="00D70D43"/>
    <w:pPr>
      <w:widowControl w:val="0"/>
      <w:spacing w:after="0" w:line="240" w:lineRule="auto"/>
      <w:ind w:left="980"/>
    </w:pPr>
    <w:rPr>
      <w:rFonts w:ascii="Times New Roman" w:eastAsia="Times New Roman" w:hAnsi="Times New Roman"/>
      <w:b/>
      <w:bCs/>
      <w:sz w:val="24"/>
      <w:szCs w:val="24"/>
    </w:rPr>
  </w:style>
  <w:style w:type="character" w:customStyle="1" w:styleId="BodyTextChar">
    <w:name w:val="Body Text Char"/>
    <w:basedOn w:val="DefaultParagraphFont"/>
    <w:link w:val="BodyText"/>
    <w:uiPriority w:val="1"/>
    <w:semiHidden/>
    <w:rsid w:val="00D70D43"/>
    <w:rPr>
      <w:rFonts w:ascii="Times New Roman" w:eastAsia="Times New Roman" w:hAnsi="Times New Roman"/>
      <w:b/>
      <w:bCs/>
      <w:sz w:val="24"/>
      <w:szCs w:val="24"/>
    </w:rPr>
  </w:style>
  <w:style w:type="paragraph" w:styleId="NoSpacing">
    <w:name w:val="No Spacing"/>
    <w:link w:val="NoSpacingChar"/>
    <w:uiPriority w:val="1"/>
    <w:qFormat/>
    <w:rsid w:val="00D70D43"/>
    <w:pPr>
      <w:widowControl w:val="0"/>
      <w:autoSpaceDE w:val="0"/>
      <w:autoSpaceDN w:val="0"/>
      <w:adjustRightInd w:val="0"/>
      <w:spacing w:after="0" w:line="240" w:lineRule="auto"/>
      <w:ind w:left="720"/>
    </w:pPr>
    <w:rPr>
      <w:rFonts w:eastAsiaTheme="minorEastAsia" w:cs="Arial"/>
      <w:b/>
      <w:color w:val="000000"/>
      <w:szCs w:val="24"/>
    </w:rPr>
  </w:style>
  <w:style w:type="paragraph" w:styleId="TOCHeading">
    <w:name w:val="TOC Heading"/>
    <w:basedOn w:val="Heading1"/>
    <w:next w:val="Normal"/>
    <w:uiPriority w:val="39"/>
    <w:unhideWhenUsed/>
    <w:qFormat/>
    <w:rsid w:val="00D70D43"/>
    <w:pPr>
      <w:widowControl/>
      <w:autoSpaceDE/>
      <w:autoSpaceDN/>
      <w:adjustRightInd/>
      <w:spacing w:line="259" w:lineRule="auto"/>
      <w:outlineLvl w:val="9"/>
    </w:pPr>
  </w:style>
  <w:style w:type="paragraph" w:styleId="TOC1">
    <w:name w:val="toc 1"/>
    <w:basedOn w:val="Normal"/>
    <w:next w:val="Normal"/>
    <w:autoRedefine/>
    <w:uiPriority w:val="39"/>
    <w:unhideWhenUsed/>
    <w:rsid w:val="00D70D43"/>
    <w:pPr>
      <w:widowControl w:val="0"/>
      <w:tabs>
        <w:tab w:val="left" w:pos="440"/>
        <w:tab w:val="right" w:leader="dot" w:pos="9350"/>
      </w:tabs>
      <w:autoSpaceDE w:val="0"/>
      <w:autoSpaceDN w:val="0"/>
      <w:adjustRightInd w:val="0"/>
      <w:spacing w:after="40" w:line="240" w:lineRule="auto"/>
    </w:pPr>
    <w:rPr>
      <w:rFonts w:eastAsia="Times New Roman" w:cs="Arial"/>
      <w:b/>
      <w:noProof/>
      <w:color w:val="000000"/>
      <w:sz w:val="24"/>
      <w:szCs w:val="24"/>
    </w:rPr>
  </w:style>
  <w:style w:type="paragraph" w:styleId="TOC2">
    <w:name w:val="toc 2"/>
    <w:basedOn w:val="Normal"/>
    <w:next w:val="Normal"/>
    <w:autoRedefine/>
    <w:uiPriority w:val="39"/>
    <w:unhideWhenUsed/>
    <w:rsid w:val="00D70D43"/>
    <w:pPr>
      <w:widowControl w:val="0"/>
      <w:tabs>
        <w:tab w:val="left" w:pos="450"/>
        <w:tab w:val="right" w:leader="dot" w:pos="9350"/>
      </w:tabs>
      <w:autoSpaceDE w:val="0"/>
      <w:autoSpaceDN w:val="0"/>
      <w:adjustRightInd w:val="0"/>
      <w:spacing w:after="100" w:line="240" w:lineRule="auto"/>
      <w:ind w:left="540" w:hanging="90"/>
    </w:pPr>
    <w:rPr>
      <w:rFonts w:ascii="Calibri" w:eastAsiaTheme="minorEastAsia" w:hAnsi="Calibri" w:cs="Arial"/>
      <w:bCs/>
      <w:noProof/>
      <w:szCs w:val="24"/>
    </w:rPr>
  </w:style>
  <w:style w:type="paragraph" w:styleId="TOC3">
    <w:name w:val="toc 3"/>
    <w:basedOn w:val="Normal"/>
    <w:next w:val="Normal"/>
    <w:autoRedefine/>
    <w:uiPriority w:val="39"/>
    <w:unhideWhenUsed/>
    <w:rsid w:val="00D70D43"/>
    <w:pPr>
      <w:tabs>
        <w:tab w:val="right" w:leader="dot" w:pos="9350"/>
      </w:tabs>
      <w:spacing w:after="100"/>
    </w:pPr>
    <w:rPr>
      <w:rFonts w:eastAsiaTheme="minorEastAsia" w:cs="Times New Roman"/>
      <w:b/>
      <w:sz w:val="24"/>
    </w:rPr>
  </w:style>
  <w:style w:type="paragraph" w:styleId="IntenseQuote">
    <w:name w:val="Intense Quote"/>
    <w:basedOn w:val="Normal"/>
    <w:next w:val="Normal"/>
    <w:link w:val="IntenseQuoteChar"/>
    <w:uiPriority w:val="30"/>
    <w:qFormat/>
    <w:rsid w:val="00D70D43"/>
    <w:pPr>
      <w:widowControl w:val="0"/>
      <w:pBdr>
        <w:top w:val="single" w:sz="4" w:space="10" w:color="5B9BD5" w:themeColor="accent1"/>
        <w:bottom w:val="single" w:sz="4" w:space="10" w:color="5B9BD5" w:themeColor="accent1"/>
      </w:pBdr>
      <w:autoSpaceDE w:val="0"/>
      <w:autoSpaceDN w:val="0"/>
      <w:adjustRightInd w:val="0"/>
      <w:spacing w:before="360" w:after="360" w:line="240" w:lineRule="auto"/>
      <w:ind w:left="864" w:right="864"/>
      <w:jc w:val="center"/>
    </w:pPr>
    <w:rPr>
      <w:rFonts w:ascii="Arial" w:eastAsiaTheme="minorEastAsia" w:hAnsi="Arial" w:cs="Arial"/>
      <w:i/>
      <w:iCs/>
      <w:color w:val="FF0000"/>
      <w:sz w:val="24"/>
      <w:szCs w:val="24"/>
    </w:rPr>
  </w:style>
  <w:style w:type="character" w:customStyle="1" w:styleId="IntenseQuoteChar">
    <w:name w:val="Intense Quote Char"/>
    <w:basedOn w:val="DefaultParagraphFont"/>
    <w:link w:val="IntenseQuote"/>
    <w:uiPriority w:val="30"/>
    <w:rsid w:val="00D70D43"/>
    <w:rPr>
      <w:rFonts w:ascii="Arial" w:eastAsiaTheme="minorEastAsia" w:hAnsi="Arial" w:cs="Arial"/>
      <w:i/>
      <w:iCs/>
      <w:color w:val="FF0000"/>
      <w:sz w:val="24"/>
      <w:szCs w:val="24"/>
    </w:rPr>
  </w:style>
  <w:style w:type="paragraph" w:styleId="Quote">
    <w:name w:val="Quote"/>
    <w:basedOn w:val="Normal"/>
    <w:next w:val="Normal"/>
    <w:link w:val="QuoteChar"/>
    <w:uiPriority w:val="29"/>
    <w:qFormat/>
    <w:rsid w:val="00D70D43"/>
    <w:pPr>
      <w:widowControl w:val="0"/>
      <w:autoSpaceDE w:val="0"/>
      <w:autoSpaceDN w:val="0"/>
      <w:adjustRightInd w:val="0"/>
      <w:spacing w:before="200" w:line="240" w:lineRule="auto"/>
      <w:ind w:left="864" w:right="864"/>
      <w:jc w:val="center"/>
    </w:pPr>
    <w:rPr>
      <w:rFonts w:ascii="Arial" w:eastAsiaTheme="minorEastAsia" w:hAnsi="Arial" w:cs="Arial"/>
      <w:i/>
      <w:iCs/>
      <w:color w:val="FF0000"/>
      <w:sz w:val="24"/>
      <w:szCs w:val="24"/>
    </w:rPr>
  </w:style>
  <w:style w:type="character" w:customStyle="1" w:styleId="QuoteChar">
    <w:name w:val="Quote Char"/>
    <w:basedOn w:val="DefaultParagraphFont"/>
    <w:link w:val="Quote"/>
    <w:uiPriority w:val="29"/>
    <w:rsid w:val="00D70D43"/>
    <w:rPr>
      <w:rFonts w:ascii="Arial" w:eastAsiaTheme="minorEastAsia" w:hAnsi="Arial" w:cs="Arial"/>
      <w:i/>
      <w:iCs/>
      <w:color w:val="FF0000"/>
      <w:sz w:val="24"/>
      <w:szCs w:val="24"/>
    </w:rPr>
  </w:style>
  <w:style w:type="paragraph" w:customStyle="1" w:styleId="Style1">
    <w:name w:val="Style1"/>
    <w:basedOn w:val="TOC2"/>
    <w:uiPriority w:val="99"/>
    <w:rsid w:val="00D70D43"/>
    <w:pPr>
      <w:ind w:left="90"/>
    </w:pPr>
    <w:rPr>
      <w:b/>
    </w:rPr>
  </w:style>
  <w:style w:type="paragraph" w:customStyle="1" w:styleId="Style3">
    <w:name w:val="Style3"/>
    <w:basedOn w:val="TOC2"/>
    <w:uiPriority w:val="99"/>
    <w:qFormat/>
    <w:rsid w:val="00D70D43"/>
    <w:rPr>
      <w:i/>
      <w:color w:val="FF0000"/>
    </w:rPr>
  </w:style>
  <w:style w:type="paragraph" w:customStyle="1" w:styleId="Normal58">
    <w:name w:val="Normal_58"/>
    <w:qFormat/>
    <w:rsid w:val="00D70D43"/>
    <w:rPr>
      <w:rFonts w:eastAsiaTheme="minorEastAsia"/>
    </w:rPr>
  </w:style>
  <w:style w:type="paragraph" w:customStyle="1" w:styleId="Normal59">
    <w:name w:val="Normal_59"/>
    <w:qFormat/>
    <w:rsid w:val="00D70D43"/>
    <w:rPr>
      <w:rFonts w:eastAsiaTheme="minorEastAsia"/>
    </w:rPr>
  </w:style>
  <w:style w:type="paragraph" w:customStyle="1" w:styleId="Normal60">
    <w:name w:val="Normal_60"/>
    <w:qFormat/>
    <w:rsid w:val="00D70D43"/>
    <w:rPr>
      <w:rFonts w:eastAsiaTheme="minorEastAsia"/>
    </w:rPr>
  </w:style>
  <w:style w:type="paragraph" w:customStyle="1" w:styleId="Normal61">
    <w:name w:val="Normal_61"/>
    <w:qFormat/>
    <w:rsid w:val="00D70D43"/>
    <w:rPr>
      <w:rFonts w:eastAsiaTheme="minorEastAsia"/>
    </w:rPr>
  </w:style>
  <w:style w:type="paragraph" w:customStyle="1" w:styleId="Normal62">
    <w:name w:val="Normal_62"/>
    <w:qFormat/>
    <w:rsid w:val="00D70D43"/>
    <w:rPr>
      <w:rFonts w:eastAsiaTheme="minorEastAsia"/>
    </w:rPr>
  </w:style>
  <w:style w:type="paragraph" w:customStyle="1" w:styleId="Normal63">
    <w:name w:val="Normal_63"/>
    <w:qFormat/>
    <w:rsid w:val="00D70D43"/>
    <w:rPr>
      <w:rFonts w:eastAsiaTheme="minorEastAsia"/>
    </w:rPr>
  </w:style>
  <w:style w:type="paragraph" w:customStyle="1" w:styleId="Normal202">
    <w:name w:val="Normal_202"/>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3">
    <w:name w:val="Normal_203"/>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4">
    <w:name w:val="Normal_204"/>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5">
    <w:name w:val="Normal_205"/>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6">
    <w:name w:val="Normal_206"/>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07">
    <w:name w:val="Normal_207"/>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7">
    <w:name w:val="Normal_237"/>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39">
    <w:name w:val="Normal_239"/>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241">
    <w:name w:val="Normal_241"/>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paragraph" w:customStyle="1" w:styleId="Normal102">
    <w:name w:val="Normal_102"/>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
    <w:name w:val="Table Grid_4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
    <w:name w:val="Normal_159"/>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421">
    <w:name w:val="Table Grid_42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2">
    <w:name w:val="Table Grid_42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link w:val="NoSpacing"/>
    <w:uiPriority w:val="1"/>
    <w:locked/>
    <w:rsid w:val="00D70D43"/>
    <w:rPr>
      <w:rFonts w:eastAsiaTheme="minorEastAsia" w:cs="Arial"/>
      <w:b/>
      <w:color w:val="000000"/>
      <w:szCs w:val="24"/>
    </w:rPr>
  </w:style>
  <w:style w:type="paragraph" w:customStyle="1" w:styleId="Normal67">
    <w:name w:val="Normal_67"/>
    <w:qFormat/>
    <w:rsid w:val="00D70D43"/>
    <w:rPr>
      <w:rFonts w:ascii="Calibri" w:eastAsia="Calibri" w:hAnsi="Calibri" w:cs="Times New Roman"/>
    </w:rPr>
  </w:style>
  <w:style w:type="paragraph" w:customStyle="1" w:styleId="Normal100">
    <w:name w:val="Normal_100"/>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00">
    <w:name w:val="Table Grid_40"/>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D70D43"/>
    <w:rPr>
      <w:color w:val="808080"/>
      <w:shd w:val="clear" w:color="auto" w:fill="E6E6E6"/>
    </w:rPr>
  </w:style>
  <w:style w:type="table" w:customStyle="1" w:styleId="TableGrid423">
    <w:name w:val="Table Grid_423"/>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1">
    <w:name w:val="Table Grid_40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4">
    <w:name w:val="Table Grid_424"/>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D70D43"/>
    <w:rPr>
      <w:color w:val="954F72" w:themeColor="followedHyperlink"/>
      <w:u w:val="single"/>
    </w:rPr>
  </w:style>
  <w:style w:type="table" w:customStyle="1" w:styleId="TableGrid310">
    <w:name w:val="Table Grid3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0">
    <w:name w:val="Table Grid12"/>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
    <w:name w:val="Table Grid13"/>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D70D43"/>
    <w:pPr>
      <w:widowControl w:val="0"/>
      <w:tabs>
        <w:tab w:val="right" w:leader="dot" w:pos="9350"/>
      </w:tabs>
      <w:autoSpaceDE w:val="0"/>
      <w:autoSpaceDN w:val="0"/>
      <w:adjustRightInd w:val="0"/>
      <w:spacing w:after="100" w:line="240" w:lineRule="auto"/>
      <w:ind w:left="432"/>
    </w:pPr>
    <w:rPr>
      <w:rFonts w:eastAsiaTheme="minorEastAsia" w:cs="Arial"/>
      <w:b/>
      <w:color w:val="000000"/>
      <w:sz w:val="24"/>
      <w:szCs w:val="24"/>
    </w:rPr>
  </w:style>
  <w:style w:type="table" w:customStyle="1" w:styleId="TableGrid2110">
    <w:name w:val="Table Grid21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b">
    <w:name w:val="Table Grid2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a">
    <w:name w:val="Table Grid22"/>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32">
    <w:name w:val="Normal_232"/>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paragraph" w:customStyle="1" w:styleId="Body">
    <w:name w:val="Body"/>
    <w:basedOn w:val="ListParagraph"/>
    <w:link w:val="BodyChar"/>
    <w:uiPriority w:val="99"/>
    <w:qFormat/>
    <w:rsid w:val="00D70D43"/>
    <w:pPr>
      <w:numPr>
        <w:numId w:val="4"/>
      </w:numPr>
      <w:tabs>
        <w:tab w:val="left" w:pos="0"/>
      </w:tabs>
      <w:ind w:firstLine="0"/>
      <w:jc w:val="both"/>
    </w:pPr>
    <w:rPr>
      <w:rFonts w:ascii="Arial" w:eastAsiaTheme="minorEastAsia" w:hAnsi="Arial" w:cstheme="minorHAnsi"/>
      <w:color w:val="000000"/>
      <w:sz w:val="24"/>
      <w:szCs w:val="24"/>
    </w:rPr>
  </w:style>
  <w:style w:type="paragraph" w:customStyle="1" w:styleId="Body0">
    <w:name w:val="**Body"/>
    <w:basedOn w:val="Body"/>
    <w:link w:val="BodyChar0"/>
    <w:uiPriority w:val="99"/>
    <w:qFormat/>
    <w:rsid w:val="00D70D43"/>
    <w:pPr>
      <w:ind w:hanging="360"/>
      <w:contextualSpacing w:val="0"/>
    </w:pPr>
  </w:style>
  <w:style w:type="character" w:customStyle="1" w:styleId="BodyChar0">
    <w:name w:val="**Body Char"/>
    <w:basedOn w:val="DefaultParagraphFont"/>
    <w:link w:val="Body0"/>
    <w:uiPriority w:val="99"/>
    <w:rsid w:val="00D70D43"/>
    <w:rPr>
      <w:rFonts w:ascii="Arial" w:eastAsiaTheme="minorEastAsia" w:hAnsi="Arial" w:cstheme="minorHAnsi"/>
      <w:color w:val="000000"/>
      <w:sz w:val="24"/>
      <w:szCs w:val="24"/>
    </w:rPr>
  </w:style>
  <w:style w:type="paragraph" w:customStyle="1" w:styleId="simplepara">
    <w:name w:val="simplepara"/>
    <w:basedOn w:val="Normal"/>
    <w:rsid w:val="00D70D43"/>
    <w:pPr>
      <w:spacing w:before="100" w:beforeAutospacing="1" w:after="100" w:afterAutospacing="1" w:line="240" w:lineRule="auto"/>
    </w:pPr>
    <w:rPr>
      <w:rFonts w:ascii="Times New Roman" w:eastAsiaTheme="minorEastAsia" w:hAnsi="Times New Roman" w:cs="Times New Roman"/>
      <w:sz w:val="20"/>
      <w:szCs w:val="20"/>
    </w:rPr>
  </w:style>
  <w:style w:type="character" w:customStyle="1" w:styleId="GEFFieldtoFilloutChar">
    <w:name w:val="GEF Field to Fill out Char"/>
    <w:link w:val="GEFFieldtoFillout"/>
    <w:locked/>
    <w:rsid w:val="00D70D43"/>
    <w:rPr>
      <w:color w:val="000000"/>
    </w:rPr>
  </w:style>
  <w:style w:type="paragraph" w:customStyle="1" w:styleId="GEFFieldtoFillout">
    <w:name w:val="GEF Field to Fill out"/>
    <w:basedOn w:val="Normal"/>
    <w:link w:val="GEFFieldtoFilloutChar"/>
    <w:qFormat/>
    <w:rsid w:val="00D70D43"/>
    <w:pPr>
      <w:spacing w:after="0" w:line="240" w:lineRule="auto"/>
      <w:ind w:left="-720"/>
    </w:pPr>
    <w:rPr>
      <w:color w:val="000000"/>
    </w:rPr>
  </w:style>
  <w:style w:type="paragraph" w:customStyle="1" w:styleId="ListParas">
    <w:name w:val="ListParas"/>
    <w:basedOn w:val="ListParagraph"/>
    <w:link w:val="ListParasChar"/>
    <w:qFormat/>
    <w:rsid w:val="00D70D43"/>
    <w:pPr>
      <w:tabs>
        <w:tab w:val="num" w:pos="360"/>
      </w:tabs>
      <w:spacing w:after="240" w:line="240" w:lineRule="auto"/>
      <w:ind w:left="0"/>
      <w:contextualSpacing w:val="0"/>
      <w:jc w:val="both"/>
    </w:pPr>
    <w:rPr>
      <w:rFonts w:ascii="Times New Roman" w:eastAsia="Calibri" w:hAnsi="Times New Roman" w:cs="Times New Roman"/>
      <w:sz w:val="24"/>
      <w:szCs w:val="24"/>
    </w:rPr>
  </w:style>
  <w:style w:type="character" w:customStyle="1" w:styleId="ListParasChar">
    <w:name w:val="ListParas Char"/>
    <w:basedOn w:val="DefaultParagraphFont"/>
    <w:link w:val="ListParas"/>
    <w:rsid w:val="00D70D43"/>
    <w:rPr>
      <w:rFonts w:ascii="Times New Roman" w:eastAsia="Calibri" w:hAnsi="Times New Roman" w:cs="Times New Roman"/>
      <w:sz w:val="24"/>
      <w:szCs w:val="24"/>
    </w:rPr>
  </w:style>
  <w:style w:type="paragraph" w:customStyle="1" w:styleId="Default">
    <w:name w:val="Default"/>
    <w:rsid w:val="00D70D43"/>
    <w:pPr>
      <w:autoSpaceDE w:val="0"/>
      <w:autoSpaceDN w:val="0"/>
      <w:adjustRightInd w:val="0"/>
      <w:spacing w:after="0" w:line="240" w:lineRule="auto"/>
    </w:pPr>
    <w:rPr>
      <w:rFonts w:ascii="Calibri" w:eastAsiaTheme="minorEastAsia" w:hAnsi="Calibri" w:cs="Calibri"/>
      <w:color w:val="000000"/>
      <w:sz w:val="24"/>
      <w:szCs w:val="24"/>
    </w:rPr>
  </w:style>
  <w:style w:type="character" w:customStyle="1" w:styleId="UnresolvedMention2">
    <w:name w:val="Unresolved Mention2"/>
    <w:basedOn w:val="DefaultParagraphFont"/>
    <w:uiPriority w:val="99"/>
    <w:unhideWhenUsed/>
    <w:rsid w:val="00D70D43"/>
    <w:rPr>
      <w:color w:val="808080"/>
      <w:shd w:val="clear" w:color="auto" w:fill="E6E6E6"/>
    </w:rPr>
  </w:style>
  <w:style w:type="paragraph" w:styleId="CommentSubject">
    <w:name w:val="annotation subject"/>
    <w:basedOn w:val="CommentText"/>
    <w:next w:val="CommentText"/>
    <w:link w:val="CommentSubjectChar"/>
    <w:uiPriority w:val="99"/>
    <w:semiHidden/>
    <w:unhideWhenUsed/>
    <w:rsid w:val="00D70D43"/>
    <w:pPr>
      <w:widowControl/>
      <w:autoSpaceDE/>
      <w:autoSpaceDN/>
      <w:adjustRightInd/>
    </w:pPr>
    <w:rPr>
      <w:rFonts w:ascii="Times New Roman" w:eastAsia="SimSun" w:hAnsi="Times New Roman" w:cs="Times New Roman"/>
      <w:b/>
      <w:bCs/>
      <w:color w:val="auto"/>
    </w:rPr>
  </w:style>
  <w:style w:type="character" w:customStyle="1" w:styleId="CommentSubjectChar">
    <w:name w:val="Comment Subject Char"/>
    <w:basedOn w:val="CommentTextChar"/>
    <w:link w:val="CommentSubject"/>
    <w:uiPriority w:val="99"/>
    <w:semiHidden/>
    <w:rsid w:val="00D70D43"/>
    <w:rPr>
      <w:rFonts w:ascii="Times New Roman" w:eastAsia="SimSun" w:hAnsi="Times New Roman" w:cs="Times New Roman"/>
      <w:b/>
      <w:bCs/>
      <w:color w:val="000000"/>
      <w:sz w:val="20"/>
      <w:szCs w:val="20"/>
    </w:rPr>
  </w:style>
  <w:style w:type="paragraph" w:customStyle="1" w:styleId="Char2">
    <w:name w:val="Char2"/>
    <w:basedOn w:val="Normal"/>
    <w:rsid w:val="00D70D43"/>
    <w:pPr>
      <w:spacing w:line="240" w:lineRule="exact"/>
    </w:pPr>
    <w:rPr>
      <w:rFonts w:cs="Times New Roman"/>
      <w:vertAlign w:val="superscript"/>
    </w:rPr>
  </w:style>
  <w:style w:type="character" w:customStyle="1" w:styleId="BodyChar">
    <w:name w:val="Body Char"/>
    <w:basedOn w:val="DefaultParagraphFont"/>
    <w:link w:val="Body"/>
    <w:uiPriority w:val="99"/>
    <w:rsid w:val="00D70D43"/>
    <w:rPr>
      <w:rFonts w:ascii="Arial" w:eastAsiaTheme="minorEastAsia" w:hAnsi="Arial" w:cstheme="minorHAnsi"/>
      <w:color w:val="000000"/>
      <w:sz w:val="24"/>
      <w:szCs w:val="24"/>
    </w:rPr>
  </w:style>
  <w:style w:type="paragraph" w:customStyle="1" w:styleId="msonormal0">
    <w:name w:val="msonormal"/>
    <w:basedOn w:val="Normal"/>
    <w:rsid w:val="00D70D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5">
    <w:name w:val="font5"/>
    <w:basedOn w:val="Normal"/>
    <w:rsid w:val="00D70D43"/>
    <w:pPr>
      <w:spacing w:before="100" w:beforeAutospacing="1" w:after="100" w:afterAutospacing="1" w:line="240" w:lineRule="auto"/>
    </w:pPr>
    <w:rPr>
      <w:rFonts w:ascii="Arial" w:eastAsia="Times New Roman" w:hAnsi="Arial" w:cs="Arial"/>
      <w:color w:val="000000"/>
      <w:sz w:val="24"/>
      <w:szCs w:val="24"/>
    </w:rPr>
  </w:style>
  <w:style w:type="paragraph" w:customStyle="1" w:styleId="font6">
    <w:name w:val="font6"/>
    <w:basedOn w:val="Normal"/>
    <w:rsid w:val="00D70D43"/>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7">
    <w:name w:val="font7"/>
    <w:basedOn w:val="Normal"/>
    <w:rsid w:val="00D70D43"/>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xl65">
    <w:name w:val="xl65"/>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66">
    <w:name w:val="xl66"/>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7">
    <w:name w:val="xl67"/>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8">
    <w:name w:val="xl68"/>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69">
    <w:name w:val="xl69"/>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16"/>
      <w:szCs w:val="16"/>
    </w:rPr>
  </w:style>
  <w:style w:type="paragraph" w:customStyle="1" w:styleId="xl70">
    <w:name w:val="xl70"/>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rPr>
  </w:style>
  <w:style w:type="paragraph" w:customStyle="1" w:styleId="xl71">
    <w:name w:val="xl71"/>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2">
    <w:name w:val="xl72"/>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color w:val="000000"/>
      <w:sz w:val="16"/>
      <w:szCs w:val="16"/>
    </w:rPr>
  </w:style>
  <w:style w:type="paragraph" w:customStyle="1" w:styleId="xl73">
    <w:name w:val="xl73"/>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4">
    <w:name w:val="xl74"/>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textAlignment w:val="center"/>
    </w:pPr>
    <w:rPr>
      <w:rFonts w:ascii="Times New Roman" w:eastAsia="Times New Roman" w:hAnsi="Times New Roman" w:cs="Times New Roman"/>
      <w:b/>
      <w:bCs/>
      <w:color w:val="000000"/>
      <w:sz w:val="16"/>
      <w:szCs w:val="16"/>
    </w:rPr>
  </w:style>
  <w:style w:type="paragraph" w:customStyle="1" w:styleId="xl75">
    <w:name w:val="xl75"/>
    <w:basedOn w:val="Normal"/>
    <w:rsid w:val="00D70D4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i/>
      <w:iCs/>
      <w:color w:val="000000"/>
      <w:sz w:val="16"/>
      <w:szCs w:val="16"/>
    </w:rPr>
  </w:style>
  <w:style w:type="paragraph" w:customStyle="1" w:styleId="xl76">
    <w:name w:val="xl76"/>
    <w:basedOn w:val="Normal"/>
    <w:rsid w:val="00D70D4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i/>
      <w:iCs/>
      <w:color w:val="000000"/>
      <w:sz w:val="16"/>
      <w:szCs w:val="16"/>
    </w:rPr>
  </w:style>
  <w:style w:type="paragraph" w:customStyle="1" w:styleId="xl77">
    <w:name w:val="xl77"/>
    <w:basedOn w:val="Normal"/>
    <w:rsid w:val="00D70D43"/>
    <w:pPr>
      <w:pBdr>
        <w:top w:val="single" w:sz="4" w:space="0" w:color="auto"/>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D70D43"/>
    <w:pPr>
      <w:pBdr>
        <w:top w:val="single" w:sz="4" w:space="0" w:color="auto"/>
        <w:left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xl79">
    <w:name w:val="xl79"/>
    <w:basedOn w:val="Normal"/>
    <w:rsid w:val="00D70D43"/>
    <w:pPr>
      <w:pBdr>
        <w:left w:val="single" w:sz="4" w:space="0" w:color="auto"/>
        <w:bottom w:val="single" w:sz="4" w:space="0" w:color="auto"/>
        <w:right w:val="single" w:sz="4" w:space="0" w:color="auto"/>
      </w:pBdr>
      <w:shd w:val="clear" w:color="000000" w:fill="E2EFD9"/>
      <w:spacing w:before="100" w:beforeAutospacing="1" w:after="100" w:afterAutospacing="1" w:line="240" w:lineRule="auto"/>
      <w:jc w:val="center"/>
      <w:textAlignment w:val="center"/>
    </w:pPr>
    <w:rPr>
      <w:rFonts w:ascii="Times New Roman" w:eastAsia="Times New Roman" w:hAnsi="Times New Roman" w:cs="Times New Roman"/>
      <w:b/>
      <w:bCs/>
      <w:color w:val="000000"/>
      <w:sz w:val="16"/>
      <w:szCs w:val="16"/>
    </w:rPr>
  </w:style>
  <w:style w:type="paragraph" w:customStyle="1" w:styleId="GEFQuestion">
    <w:name w:val="GEF Question"/>
    <w:basedOn w:val="Normal"/>
    <w:rsid w:val="00D70D43"/>
    <w:pPr>
      <w:spacing w:after="0" w:line="240" w:lineRule="auto"/>
      <w:ind w:left="-720"/>
    </w:pPr>
    <w:rPr>
      <w:rFonts w:ascii="Times New Roman" w:hAnsi="Times New Roman" w:cs="Times New Roman"/>
    </w:rPr>
  </w:style>
  <w:style w:type="paragraph" w:customStyle="1" w:styleId="Heading30">
    <w:name w:val="Heading 3_0"/>
    <w:basedOn w:val="Normal64"/>
    <w:next w:val="Normal64"/>
    <w:link w:val="Heading3Char0"/>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4">
    <w:name w:val="Normal_64"/>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0">
    <w:name w:val="Heading 3 Char_0"/>
    <w:basedOn w:val="DefaultParagraphFont"/>
    <w:link w:val="Heading30"/>
    <w:uiPriority w:val="9"/>
    <w:rsid w:val="00D70D43"/>
    <w:rPr>
      <w:rFonts w:asciiTheme="majorHAnsi" w:eastAsiaTheme="majorEastAsia" w:hAnsiTheme="majorHAnsi" w:cstheme="majorBidi"/>
      <w:b/>
      <w:sz w:val="24"/>
      <w:szCs w:val="24"/>
    </w:rPr>
  </w:style>
  <w:style w:type="paragraph" w:customStyle="1" w:styleId="Normal1020">
    <w:name w:val="Normal_102_0"/>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0">
    <w:name w:val="Table Grid_42_0"/>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0">
    <w:name w:val="Normal_159_0"/>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00">
    <w:name w:val="Table Grid12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00">
    <w:name w:val="Table Grid13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02">
    <w:name w:val="Table Grid4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0">
    <w:name w:val="Normal_67_0"/>
    <w:qFormat/>
    <w:rsid w:val="00D70D43"/>
    <w:rPr>
      <w:rFonts w:ascii="Calibri" w:eastAsia="Calibri" w:hAnsi="Calibri" w:cs="Times New Roman"/>
    </w:rPr>
  </w:style>
  <w:style w:type="table" w:customStyle="1" w:styleId="TableGrid4230">
    <w:name w:val="Table Grid_423_0"/>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01">
    <w:name w:val="Table Grid3_0"/>
    <w:basedOn w:val="TableNormal"/>
    <w:next w:val="TableGrid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00">
    <w:name w:val="Normal_3_0"/>
    <w:qFormat/>
    <w:rsid w:val="00D70D43"/>
    <w:rPr>
      <w:rFonts w:eastAsiaTheme="minorEastAsia"/>
    </w:rPr>
  </w:style>
  <w:style w:type="paragraph" w:customStyle="1" w:styleId="Normal400">
    <w:name w:val="Normal_4_0"/>
    <w:qFormat/>
    <w:rsid w:val="00D70D43"/>
    <w:rPr>
      <w:rFonts w:eastAsiaTheme="minorEastAsia"/>
    </w:rPr>
  </w:style>
  <w:style w:type="paragraph" w:customStyle="1" w:styleId="Heading31">
    <w:name w:val="Heading 3_1"/>
    <w:basedOn w:val="Normal65"/>
    <w:next w:val="Normal65"/>
    <w:link w:val="Heading3Char1"/>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5">
    <w:name w:val="Normal_65"/>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1">
    <w:name w:val="Heading 3 Char_1"/>
    <w:basedOn w:val="DefaultParagraphFont"/>
    <w:link w:val="Heading31"/>
    <w:uiPriority w:val="9"/>
    <w:rsid w:val="00D70D43"/>
    <w:rPr>
      <w:rFonts w:asciiTheme="majorHAnsi" w:eastAsiaTheme="majorEastAsia" w:hAnsiTheme="majorHAnsi" w:cstheme="majorBidi"/>
      <w:b/>
      <w:sz w:val="24"/>
      <w:szCs w:val="24"/>
    </w:rPr>
  </w:style>
  <w:style w:type="paragraph" w:customStyle="1" w:styleId="Normal1021">
    <w:name w:val="Normal_102_1"/>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10">
    <w:name w:val="Table Grid_42_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1">
    <w:name w:val="Normal_159_1"/>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10">
    <w:name w:val="Table Grid12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1">
    <w:name w:val="Normal_67_1"/>
    <w:qFormat/>
    <w:rsid w:val="00D70D43"/>
    <w:rPr>
      <w:rFonts w:ascii="Calibri" w:eastAsia="Calibri" w:hAnsi="Calibri" w:cs="Times New Roman"/>
    </w:rPr>
  </w:style>
  <w:style w:type="table" w:customStyle="1" w:styleId="TableGrid4231">
    <w:name w:val="Table Grid_423_1"/>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_1"/>
    <w:basedOn w:val="TableNormal"/>
    <w:next w:val="TableGrid1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10">
    <w:name w:val="Normal_3_1"/>
    <w:qFormat/>
    <w:rsid w:val="00D70D43"/>
    <w:rPr>
      <w:rFonts w:eastAsiaTheme="minorEastAsia"/>
    </w:rPr>
  </w:style>
  <w:style w:type="paragraph" w:customStyle="1" w:styleId="Normal410">
    <w:name w:val="Normal_4_1"/>
    <w:qFormat/>
    <w:rsid w:val="00D70D43"/>
    <w:rPr>
      <w:rFonts w:eastAsiaTheme="minorEastAsia"/>
    </w:rPr>
  </w:style>
  <w:style w:type="paragraph" w:customStyle="1" w:styleId="Heading32">
    <w:name w:val="Heading 3_2"/>
    <w:basedOn w:val="Normal66"/>
    <w:next w:val="Normal66"/>
    <w:link w:val="Heading3Char2"/>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6">
    <w:name w:val="Normal_66"/>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2">
    <w:name w:val="Heading 3 Char_2"/>
    <w:basedOn w:val="DefaultParagraphFont"/>
    <w:link w:val="Heading32"/>
    <w:uiPriority w:val="9"/>
    <w:rsid w:val="00D70D43"/>
    <w:rPr>
      <w:rFonts w:asciiTheme="majorHAnsi" w:eastAsiaTheme="majorEastAsia" w:hAnsiTheme="majorHAnsi" w:cstheme="majorBidi"/>
      <w:b/>
      <w:sz w:val="24"/>
      <w:szCs w:val="24"/>
    </w:rPr>
  </w:style>
  <w:style w:type="paragraph" w:customStyle="1" w:styleId="Normal1022">
    <w:name w:val="Normal_102_2"/>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20">
    <w:name w:val="Table Grid_42_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2">
    <w:name w:val="Normal_159_2"/>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2">
    <w:name w:val="Table Grid12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5">
    <w:name w:val="Table Grid4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2">
    <w:name w:val="Normal_67_2"/>
    <w:qFormat/>
    <w:rsid w:val="00D70D43"/>
    <w:rPr>
      <w:rFonts w:ascii="Calibri" w:eastAsia="Calibri" w:hAnsi="Calibri" w:cs="Times New Roman"/>
    </w:rPr>
  </w:style>
  <w:style w:type="table" w:customStyle="1" w:styleId="TableGrid4232">
    <w:name w:val="Table Grid_423_2"/>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0">
    <w:name w:val="Table Grid3_2"/>
    <w:basedOn w:val="TableNormal"/>
    <w:next w:val="TableGrid22"/>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20">
    <w:name w:val="Normal_3_2"/>
    <w:qFormat/>
    <w:rsid w:val="00D70D43"/>
    <w:rPr>
      <w:rFonts w:eastAsiaTheme="minorEastAsia"/>
    </w:rPr>
  </w:style>
  <w:style w:type="paragraph" w:customStyle="1" w:styleId="Normal420">
    <w:name w:val="Normal_4_2"/>
    <w:qFormat/>
    <w:rsid w:val="00D70D43"/>
    <w:rPr>
      <w:rFonts w:eastAsiaTheme="minorEastAsia"/>
    </w:rPr>
  </w:style>
  <w:style w:type="paragraph" w:customStyle="1" w:styleId="Heading33">
    <w:name w:val="Heading 3_3"/>
    <w:basedOn w:val="Normal68"/>
    <w:next w:val="Normal68"/>
    <w:link w:val="Heading3Char3"/>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8">
    <w:name w:val="Normal_68"/>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3">
    <w:name w:val="Heading 3 Char_3"/>
    <w:basedOn w:val="DefaultParagraphFont"/>
    <w:link w:val="Heading33"/>
    <w:uiPriority w:val="9"/>
    <w:rsid w:val="00D70D43"/>
    <w:rPr>
      <w:rFonts w:asciiTheme="majorHAnsi" w:eastAsiaTheme="majorEastAsia" w:hAnsiTheme="majorHAnsi" w:cstheme="majorBidi"/>
      <w:b/>
      <w:sz w:val="24"/>
      <w:szCs w:val="24"/>
    </w:rPr>
  </w:style>
  <w:style w:type="paragraph" w:customStyle="1" w:styleId="Normal1023">
    <w:name w:val="Normal_102_3"/>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33">
    <w:name w:val="Table Grid_42_3"/>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3">
    <w:name w:val="Normal_159_3"/>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3">
    <w:name w:val="Table Grid12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3">
    <w:name w:val="Normal_67_3"/>
    <w:qFormat/>
    <w:rsid w:val="00D70D43"/>
    <w:rPr>
      <w:rFonts w:ascii="Calibri" w:eastAsia="Calibri" w:hAnsi="Calibri" w:cs="Times New Roman"/>
    </w:rPr>
  </w:style>
  <w:style w:type="table" w:customStyle="1" w:styleId="TableGrid42330">
    <w:name w:val="Table Grid_423_3"/>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0">
    <w:name w:val="Table Grid3_3"/>
    <w:basedOn w:val="TableNormal"/>
    <w:next w:val="TableGrid3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30">
    <w:name w:val="Normal_3_3"/>
    <w:qFormat/>
    <w:rsid w:val="00D70D43"/>
    <w:rPr>
      <w:rFonts w:eastAsiaTheme="minorEastAsia"/>
    </w:rPr>
  </w:style>
  <w:style w:type="paragraph" w:customStyle="1" w:styleId="Normal430">
    <w:name w:val="Normal_4_3"/>
    <w:qFormat/>
    <w:rsid w:val="00D70D43"/>
    <w:rPr>
      <w:rFonts w:eastAsiaTheme="minorEastAsia"/>
    </w:rPr>
  </w:style>
  <w:style w:type="paragraph" w:customStyle="1" w:styleId="Heading34">
    <w:name w:val="Heading 3_4"/>
    <w:basedOn w:val="Normal69"/>
    <w:next w:val="Normal69"/>
    <w:link w:val="Heading3Char4"/>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69">
    <w:name w:val="Normal_69"/>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4">
    <w:name w:val="Heading 3 Char_4"/>
    <w:basedOn w:val="DefaultParagraphFont"/>
    <w:link w:val="Heading34"/>
    <w:uiPriority w:val="9"/>
    <w:rsid w:val="00D70D43"/>
    <w:rPr>
      <w:rFonts w:asciiTheme="majorHAnsi" w:eastAsiaTheme="majorEastAsia" w:hAnsiTheme="majorHAnsi" w:cstheme="majorBidi"/>
      <w:b/>
      <w:sz w:val="24"/>
      <w:szCs w:val="24"/>
    </w:rPr>
  </w:style>
  <w:style w:type="paragraph" w:customStyle="1" w:styleId="Normal1024">
    <w:name w:val="Normal_102_4"/>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40">
    <w:name w:val="Table Grid_42_4"/>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4">
    <w:name w:val="Normal_159_4"/>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4">
    <w:name w:val="Table Grid12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4">
    <w:name w:val="Table Grid4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4">
    <w:name w:val="Normal_67_4"/>
    <w:qFormat/>
    <w:rsid w:val="00D70D43"/>
    <w:rPr>
      <w:rFonts w:ascii="Calibri" w:eastAsia="Calibri" w:hAnsi="Calibri" w:cs="Times New Roman"/>
    </w:rPr>
  </w:style>
  <w:style w:type="table" w:customStyle="1" w:styleId="TableGrid4234">
    <w:name w:val="Table Grid_423_4"/>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0">
    <w:name w:val="Table Grid3_4"/>
    <w:basedOn w:val="TableNormal"/>
    <w:next w:val="TableGrid6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40">
    <w:name w:val="Normal_3_4"/>
    <w:qFormat/>
    <w:rsid w:val="00D70D43"/>
    <w:rPr>
      <w:rFonts w:eastAsiaTheme="minorEastAsia"/>
    </w:rPr>
  </w:style>
  <w:style w:type="paragraph" w:customStyle="1" w:styleId="Normal440">
    <w:name w:val="Normal_4_4"/>
    <w:qFormat/>
    <w:rsid w:val="00D70D43"/>
    <w:rPr>
      <w:rFonts w:eastAsiaTheme="minorEastAsia"/>
    </w:rPr>
  </w:style>
  <w:style w:type="paragraph" w:customStyle="1" w:styleId="Heading35">
    <w:name w:val="Heading 3_5"/>
    <w:basedOn w:val="Normal70"/>
    <w:next w:val="Normal70"/>
    <w:link w:val="Heading3Char5"/>
    <w:uiPriority w:val="9"/>
    <w:unhideWhenUsed/>
    <w:qFormat/>
    <w:rsid w:val="00D70D43"/>
    <w:pPr>
      <w:keepNext/>
      <w:keepLines/>
      <w:spacing w:before="40"/>
      <w:outlineLvl w:val="2"/>
    </w:pPr>
    <w:rPr>
      <w:rFonts w:asciiTheme="majorHAnsi" w:eastAsiaTheme="majorEastAsia" w:hAnsiTheme="majorHAnsi" w:cstheme="majorBidi"/>
      <w:b/>
      <w:color w:val="auto"/>
    </w:rPr>
  </w:style>
  <w:style w:type="paragraph" w:customStyle="1" w:styleId="Normal70">
    <w:name w:val="Normal_70"/>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character" w:customStyle="1" w:styleId="Heading3Char5">
    <w:name w:val="Heading 3 Char_5"/>
    <w:basedOn w:val="DefaultParagraphFont"/>
    <w:link w:val="Heading35"/>
    <w:uiPriority w:val="9"/>
    <w:rsid w:val="00D70D43"/>
    <w:rPr>
      <w:rFonts w:asciiTheme="majorHAnsi" w:eastAsiaTheme="majorEastAsia" w:hAnsiTheme="majorHAnsi" w:cstheme="majorBidi"/>
      <w:b/>
      <w:sz w:val="24"/>
      <w:szCs w:val="24"/>
    </w:rPr>
  </w:style>
  <w:style w:type="paragraph" w:customStyle="1" w:styleId="Normal1025">
    <w:name w:val="Normal_102_5"/>
    <w:uiPriority w:val="99"/>
    <w:qFormat/>
    <w:rsid w:val="00D70D43"/>
    <w:pPr>
      <w:widowControl w:val="0"/>
      <w:autoSpaceDE w:val="0"/>
      <w:autoSpaceDN w:val="0"/>
      <w:adjustRightInd w:val="0"/>
      <w:spacing w:after="0" w:line="240" w:lineRule="auto"/>
    </w:pPr>
    <w:rPr>
      <w:rFonts w:ascii="Arial" w:eastAsiaTheme="minorEastAsia" w:hAnsi="Arial" w:cs="Arial"/>
      <w:color w:val="000000"/>
      <w:sz w:val="24"/>
      <w:szCs w:val="24"/>
    </w:rPr>
  </w:style>
  <w:style w:type="table" w:customStyle="1" w:styleId="TableGrid4250">
    <w:name w:val="Table Grid_42_5"/>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595">
    <w:name w:val="Normal_159_5"/>
    <w:uiPriority w:val="99"/>
    <w:qFormat/>
    <w:rsid w:val="00D70D43"/>
    <w:pPr>
      <w:widowControl w:val="0"/>
      <w:autoSpaceDE w:val="0"/>
      <w:autoSpaceDN w:val="0"/>
      <w:adjustRightInd w:val="0"/>
      <w:spacing w:after="0" w:line="240" w:lineRule="auto"/>
    </w:pPr>
    <w:rPr>
      <w:rFonts w:ascii="Arial" w:eastAsia="Times New Roman" w:hAnsi="Arial" w:cs="Arial"/>
      <w:color w:val="000000"/>
      <w:sz w:val="24"/>
      <w:szCs w:val="24"/>
    </w:rPr>
  </w:style>
  <w:style w:type="table" w:customStyle="1" w:styleId="TableGrid125">
    <w:name w:val="Table Grid12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5">
    <w:name w:val="Table Grid13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5">
    <w:name w:val="Table Grid4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675">
    <w:name w:val="Normal_67_5"/>
    <w:qFormat/>
    <w:rsid w:val="00D70D43"/>
    <w:rPr>
      <w:rFonts w:ascii="Calibri" w:eastAsia="Calibri" w:hAnsi="Calibri" w:cs="Times New Roman"/>
    </w:rPr>
  </w:style>
  <w:style w:type="table" w:customStyle="1" w:styleId="TableGrid4235">
    <w:name w:val="Table Grid_423_5"/>
    <w:basedOn w:val="TableNormal"/>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50">
    <w:name w:val="Table Grid3_5"/>
    <w:basedOn w:val="TableNormal"/>
    <w:next w:val="TableGrid70"/>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350">
    <w:name w:val="Normal_3_5"/>
    <w:qFormat/>
    <w:rsid w:val="00D70D43"/>
    <w:rPr>
      <w:rFonts w:eastAsiaTheme="minorEastAsia"/>
    </w:rPr>
  </w:style>
  <w:style w:type="paragraph" w:customStyle="1" w:styleId="Normal450">
    <w:name w:val="Normal_4_5"/>
    <w:qFormat/>
    <w:rsid w:val="00D70D43"/>
    <w:rPr>
      <w:rFonts w:eastAsiaTheme="minorEastAsia"/>
    </w:rPr>
  </w:style>
  <w:style w:type="character" w:customStyle="1" w:styleId="UnresolvedMention3">
    <w:name w:val="Unresolved Mention3"/>
    <w:basedOn w:val="DefaultParagraphFont"/>
    <w:uiPriority w:val="99"/>
    <w:rsid w:val="00D70D43"/>
    <w:rPr>
      <w:color w:val="605E5C"/>
      <w:shd w:val="clear" w:color="auto" w:fill="E1DFDD"/>
    </w:rPr>
  </w:style>
  <w:style w:type="paragraph" w:styleId="EndnoteText">
    <w:name w:val="endnote text"/>
    <w:basedOn w:val="Normal"/>
    <w:link w:val="EndnoteTextChar"/>
    <w:uiPriority w:val="99"/>
    <w:semiHidden/>
    <w:unhideWhenUsed/>
    <w:rsid w:val="00D70D43"/>
    <w:pPr>
      <w:widowControl w:val="0"/>
      <w:autoSpaceDE w:val="0"/>
      <w:autoSpaceDN w:val="0"/>
      <w:adjustRightInd w:val="0"/>
      <w:spacing w:after="0" w:line="240" w:lineRule="auto"/>
    </w:pPr>
    <w:rPr>
      <w:rFonts w:ascii="Arial" w:eastAsiaTheme="minorEastAsia" w:hAnsi="Arial" w:cs="Arial"/>
      <w:color w:val="000000"/>
      <w:sz w:val="20"/>
      <w:szCs w:val="20"/>
    </w:rPr>
  </w:style>
  <w:style w:type="character" w:customStyle="1" w:styleId="EndnoteTextChar">
    <w:name w:val="Endnote Text Char"/>
    <w:basedOn w:val="DefaultParagraphFont"/>
    <w:link w:val="EndnoteText"/>
    <w:uiPriority w:val="99"/>
    <w:semiHidden/>
    <w:rsid w:val="00D70D43"/>
    <w:rPr>
      <w:rFonts w:ascii="Arial" w:eastAsiaTheme="minorEastAsia" w:hAnsi="Arial" w:cs="Arial"/>
      <w:color w:val="000000"/>
      <w:sz w:val="20"/>
      <w:szCs w:val="20"/>
    </w:rPr>
  </w:style>
  <w:style w:type="character" w:styleId="EndnoteReference">
    <w:name w:val="endnote reference"/>
    <w:basedOn w:val="DefaultParagraphFont"/>
    <w:uiPriority w:val="99"/>
    <w:semiHidden/>
    <w:unhideWhenUsed/>
    <w:rsid w:val="00D70D43"/>
    <w:rPr>
      <w:vertAlign w:val="superscript"/>
    </w:rPr>
  </w:style>
  <w:style w:type="paragraph" w:styleId="Revision">
    <w:name w:val="Revision"/>
    <w:hidden/>
    <w:uiPriority w:val="99"/>
    <w:semiHidden/>
    <w:rsid w:val="00D70D43"/>
    <w:pPr>
      <w:spacing w:after="0" w:line="240" w:lineRule="auto"/>
    </w:pPr>
    <w:rPr>
      <w:rFonts w:ascii="Arial" w:eastAsiaTheme="minorEastAsia" w:hAnsi="Arial" w:cs="Arial"/>
      <w:color w:val="000000"/>
      <w:sz w:val="24"/>
      <w:szCs w:val="24"/>
    </w:rPr>
  </w:style>
  <w:style w:type="table" w:customStyle="1" w:styleId="TableGrida">
    <w:name w:val="TableGrid"/>
    <w:rsid w:val="00D70D43"/>
    <w:pPr>
      <w:spacing w:after="0" w:line="240" w:lineRule="auto"/>
    </w:pPr>
    <w:rPr>
      <w:rFonts w:eastAsia="Times New Roman"/>
    </w:rPr>
    <w:tblPr>
      <w:tblCellMar>
        <w:top w:w="0" w:type="dxa"/>
        <w:left w:w="0" w:type="dxa"/>
        <w:bottom w:w="0" w:type="dxa"/>
        <w:right w:w="0" w:type="dxa"/>
      </w:tblCellMar>
    </w:tblPr>
  </w:style>
  <w:style w:type="table" w:customStyle="1" w:styleId="TableGrid80">
    <w:name w:val="Table Grid8"/>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D70D43"/>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D70D43"/>
    <w:rPr>
      <w:rFonts w:ascii="Courier New" w:eastAsia="Times New Roman" w:hAnsi="Courier New" w:cs="Courier New"/>
      <w:sz w:val="20"/>
      <w:szCs w:val="20"/>
    </w:rPr>
  </w:style>
  <w:style w:type="table" w:customStyle="1" w:styleId="TableGrid426">
    <w:name w:val="Table Grid_42_6"/>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6">
    <w:name w:val="Table Grid12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6">
    <w:name w:val="Table Grid13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6">
    <w:name w:val="Table Grid4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6">
    <w:name w:val="Table Grid_423_6"/>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6">
    <w:name w:val="Table Grid3_6"/>
    <w:basedOn w:val="TableNormal"/>
    <w:next w:val="TableGrid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7">
    <w:name w:val="Table Grid_42_7"/>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7">
    <w:name w:val="Table Grid12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7">
    <w:name w:val="Table Grid13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7">
    <w:name w:val="Table Grid4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7">
    <w:name w:val="Table Grid_423_7"/>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7">
    <w:name w:val="Table Grid3_7"/>
    <w:basedOn w:val="TableNormal"/>
    <w:next w:val="TableGrid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8">
    <w:name w:val="Table Grid_42_8"/>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8">
    <w:name w:val="Table Grid12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8">
    <w:name w:val="Table Grid13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8">
    <w:name w:val="Table Grid4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8">
    <w:name w:val="Table Grid_423_8"/>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8">
    <w:name w:val="Table Grid3_8"/>
    <w:basedOn w:val="TableNormal"/>
    <w:next w:val="TableGrid1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1">
    <w:name w:val="Document Table1"/>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DocumentTable2">
    <w:name w:val="Document Table2"/>
    <w:basedOn w:val="TableNormal"/>
    <w:next w:val="TableGrid"/>
    <w:uiPriority w:val="39"/>
    <w:rsid w:val="00D70D43"/>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9">
    <w:name w:val="Table Grid_42_9"/>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9">
    <w:name w:val="Table Grid12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9">
    <w:name w:val="Table Grid13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9">
    <w:name w:val="Table Grid4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9">
    <w:name w:val="Table Grid_423_9"/>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9">
    <w:name w:val="Table Grid3_9"/>
    <w:basedOn w:val="TableNormal"/>
    <w:next w:val="TableGrid11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00">
    <w:name w:val="Table Grid_42_10"/>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00">
    <w:name w:val="Table Grid12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0">
    <w:name w:val="Table Grid13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0">
    <w:name w:val="Table Grid4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10">
    <w:name w:val="Table Grid_423_10"/>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00">
    <w:name w:val="Table Grid3_10"/>
    <w:basedOn w:val="TableNormal"/>
    <w:next w:val="TableGrid1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nkNormal">
    <w:name w:val="BankNormal"/>
    <w:basedOn w:val="Normal"/>
    <w:link w:val="BankNormalChar"/>
    <w:rsid w:val="00D70D43"/>
    <w:pPr>
      <w:spacing w:after="240" w:line="240" w:lineRule="auto"/>
    </w:pPr>
    <w:rPr>
      <w:rFonts w:ascii="Times New Roman" w:eastAsia="Times New Roman" w:hAnsi="Times New Roman" w:cs="Times New Roman"/>
      <w:sz w:val="20"/>
      <w:szCs w:val="20"/>
      <w:lang w:val="x-none" w:eastAsia="x-none"/>
    </w:rPr>
  </w:style>
  <w:style w:type="character" w:customStyle="1" w:styleId="BankNormalChar">
    <w:name w:val="BankNormal Char"/>
    <w:link w:val="BankNormal"/>
    <w:locked/>
    <w:rsid w:val="00D70D43"/>
    <w:rPr>
      <w:rFonts w:ascii="Times New Roman" w:eastAsia="Times New Roman" w:hAnsi="Times New Roman" w:cs="Times New Roman"/>
      <w:sz w:val="20"/>
      <w:szCs w:val="20"/>
      <w:lang w:val="x-none" w:eastAsia="x-none"/>
    </w:rPr>
  </w:style>
  <w:style w:type="character" w:customStyle="1" w:styleId="st">
    <w:name w:val="st"/>
    <w:basedOn w:val="DefaultParagraphFont"/>
    <w:rsid w:val="00D70D43"/>
  </w:style>
  <w:style w:type="table" w:customStyle="1" w:styleId="TableGrid4211">
    <w:name w:val="Table Grid_42_11"/>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1">
    <w:name w:val="Table Grid4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11">
    <w:name w:val="Table Grid_423_11"/>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0">
    <w:name w:val="Table Grid3_11"/>
    <w:basedOn w:val="TableNormal"/>
    <w:next w:val="TableGrid13"/>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D70D43"/>
  </w:style>
  <w:style w:type="table" w:customStyle="1" w:styleId="DocumentTable3">
    <w:name w:val="Document Table3"/>
    <w:basedOn w:val="TableNormal"/>
    <w:next w:val="TableGrid"/>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1">
    <w:name w:val="Grid Table 41"/>
    <w:basedOn w:val="TableNormal"/>
    <w:next w:val="GridTable4"/>
    <w:uiPriority w:val="49"/>
    <w:rsid w:val="00D70D43"/>
    <w:pPr>
      <w:spacing w:after="0" w:line="240" w:lineRule="auto"/>
    </w:pPr>
    <w:rPr>
      <w:rFonts w:eastAsia="Calibri"/>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DocumentTable11">
    <w:name w:val="Document Table11"/>
    <w:basedOn w:val="TableNormal"/>
    <w:next w:val="TableGrid"/>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2">
    <w:name w:val="Grid Table 42"/>
    <w:basedOn w:val="TableNormal"/>
    <w:next w:val="GridTable4"/>
    <w:uiPriority w:val="49"/>
    <w:rsid w:val="00D70D43"/>
    <w:pPr>
      <w:spacing w:after="0" w:line="240" w:lineRule="auto"/>
    </w:pPr>
    <w:rPr>
      <w:rFonts w:eastAsia="Calibri"/>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customStyle="1" w:styleId="ColorfulList-Accent11">
    <w:name w:val="Colorful List - Accent 11"/>
    <w:aliases w:val="Colorful List - Accent 12"/>
    <w:basedOn w:val="Normal"/>
    <w:uiPriority w:val="34"/>
    <w:qFormat/>
    <w:rsid w:val="00D70D43"/>
    <w:pPr>
      <w:spacing w:after="0" w:line="240" w:lineRule="auto"/>
      <w:ind w:left="720"/>
      <w:contextualSpacing/>
    </w:pPr>
    <w:rPr>
      <w:rFonts w:ascii="Cambria" w:eastAsia="MS Mincho" w:hAnsi="Cambria" w:cs="Times New Roman"/>
      <w:sz w:val="24"/>
      <w:szCs w:val="24"/>
    </w:rPr>
  </w:style>
  <w:style w:type="table" w:styleId="GridTable4">
    <w:name w:val="Grid Table 4"/>
    <w:basedOn w:val="TableNormal"/>
    <w:uiPriority w:val="49"/>
    <w:rsid w:val="00D70D43"/>
    <w:pPr>
      <w:spacing w:after="0" w:line="240" w:lineRule="auto"/>
    </w:pPr>
    <w:rPr>
      <w:rFonts w:eastAsiaTheme="minorEastAsia"/>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4212">
    <w:name w:val="Table Grid_42_12"/>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2">
    <w:name w:val="Table Grid4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312">
    <w:name w:val="Table Grid_423_12"/>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_12"/>
    <w:basedOn w:val="TableNormal"/>
    <w:next w:val="TableGrid15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4-Accent51">
    <w:name w:val="Grid Table 4 - Accent 51"/>
    <w:basedOn w:val="TableNormal"/>
    <w:next w:val="GridTable4-Accent5"/>
    <w:uiPriority w:val="49"/>
    <w:rsid w:val="00D70D43"/>
    <w:pPr>
      <w:spacing w:after="0" w:line="240" w:lineRule="auto"/>
    </w:pPr>
    <w:rPr>
      <w:rFonts w:eastAsia="Calibri"/>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GridTable4-Accent5">
    <w:name w:val="Grid Table 4 Accent 5"/>
    <w:basedOn w:val="TableNormal"/>
    <w:uiPriority w:val="49"/>
    <w:rsid w:val="00D70D43"/>
    <w:pPr>
      <w:spacing w:after="0" w:line="240" w:lineRule="auto"/>
    </w:pPr>
    <w:rPr>
      <w:rFonts w:eastAsiaTheme="minorEastAsia"/>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customStyle="1" w:styleId="TableGrid4213">
    <w:name w:val="Table Grid_42_13"/>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3">
    <w:name w:val="Table Grid12_13"/>
    <w:basedOn w:val="TableNormal"/>
    <w:next w:val="TableGrid17"/>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3">
    <w:name w:val="Table Grid13_13"/>
    <w:basedOn w:val="TableNormal"/>
    <w:next w:val="TableGrid17"/>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3">
    <w:name w:val="Table Grid4_13"/>
    <w:basedOn w:val="TableNormal"/>
    <w:next w:val="TableGrid17"/>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4">
    <w:name w:val="Table Grid_42_14"/>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4">
    <w:name w:val="Table Grid12_14"/>
    <w:basedOn w:val="TableNormal"/>
    <w:next w:val="TableGrid1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4">
    <w:name w:val="Table Grid13_14"/>
    <w:basedOn w:val="TableNormal"/>
    <w:next w:val="TableGrid1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4">
    <w:name w:val="Table Grid4_14"/>
    <w:basedOn w:val="TableNormal"/>
    <w:next w:val="TableGrid18"/>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5">
    <w:name w:val="Table Grid_42_15"/>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5">
    <w:name w:val="Table Grid12_15"/>
    <w:basedOn w:val="TableNormal"/>
    <w:next w:val="TableGrid1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5">
    <w:name w:val="Table Grid13_15"/>
    <w:basedOn w:val="TableNormal"/>
    <w:next w:val="TableGrid1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5">
    <w:name w:val="Table Grid4_15"/>
    <w:basedOn w:val="TableNormal"/>
    <w:next w:val="TableGrid19"/>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6">
    <w:name w:val="Table Grid_42_16"/>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6">
    <w:name w:val="Table Grid12_16"/>
    <w:basedOn w:val="TableNormal"/>
    <w:next w:val="TableGrid2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6">
    <w:name w:val="Table Grid13_16"/>
    <w:basedOn w:val="TableNormal"/>
    <w:next w:val="TableGrid2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6">
    <w:name w:val="Table Grid4_16"/>
    <w:basedOn w:val="TableNormal"/>
    <w:next w:val="TableGrid20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7">
    <w:name w:val="Table Grid_42_17"/>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7">
    <w:name w:val="Table Grid12_17"/>
    <w:basedOn w:val="TableNormal"/>
    <w:next w:val="TableGrid21a"/>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7">
    <w:name w:val="Table Grid13_17"/>
    <w:basedOn w:val="TableNormal"/>
    <w:next w:val="TableGrid21a"/>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7">
    <w:name w:val="Table Grid4_17"/>
    <w:basedOn w:val="TableNormal"/>
    <w:next w:val="TableGrid21a"/>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8">
    <w:name w:val="Table Grid_42_18"/>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8">
    <w:name w:val="Table Grid12_18"/>
    <w:basedOn w:val="TableNormal"/>
    <w:next w:val="TableGrid22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8">
    <w:name w:val="Table Grid13_18"/>
    <w:basedOn w:val="TableNormal"/>
    <w:next w:val="TableGrid22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8">
    <w:name w:val="Table Grid4_18"/>
    <w:basedOn w:val="TableNormal"/>
    <w:next w:val="TableGrid222"/>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19">
    <w:name w:val="Table Grid_42_19"/>
    <w:basedOn w:val="TableNormal"/>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9">
    <w:name w:val="Table Grid12_19"/>
    <w:basedOn w:val="TableNormal"/>
    <w:next w:val="TableGrid23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9">
    <w:name w:val="Table Grid13_19"/>
    <w:basedOn w:val="TableNormal"/>
    <w:next w:val="TableGrid23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9">
    <w:name w:val="Table Grid4_19"/>
    <w:basedOn w:val="TableNormal"/>
    <w:next w:val="TableGrid230"/>
    <w:uiPriority w:val="39"/>
    <w:rsid w:val="00D70D43"/>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3.xml"/><Relationship Id="rId26" Type="http://schemas.openxmlformats.org/officeDocument/2006/relationships/diagramData" Target="diagrams/data2.xml"/><Relationship Id="rId21" Type="http://schemas.openxmlformats.org/officeDocument/2006/relationships/diagramData" Target="diagrams/data1.xml"/><Relationship Id="rId34"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eader" Target="header3.xml"/><Relationship Id="rId25" Type="http://schemas.microsoft.com/office/2007/relationships/diagramDrawing" Target="diagrams/drawing1.xml"/><Relationship Id="rId33" Type="http://schemas.openxmlformats.org/officeDocument/2006/relationships/header" Target="header5.xm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worldbank.org/projects" TargetMode="External"/><Relationship Id="rId20" Type="http://schemas.openxmlformats.org/officeDocument/2006/relationships/image" Target="media/image4.emf"/><Relationship Id="rId29" Type="http://schemas.openxmlformats.org/officeDocument/2006/relationships/diagramColors" Target="diagrams/colors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diagramColors" Target="diagrams/colors1.xml"/><Relationship Id="rId32" Type="http://schemas.openxmlformats.org/officeDocument/2006/relationships/header" Target="header4.xml"/><Relationship Id="rId37"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diagramQuickStyle" Target="diagrams/quickStyle1.xml"/><Relationship Id="rId28" Type="http://schemas.openxmlformats.org/officeDocument/2006/relationships/diagramQuickStyle" Target="diagrams/quickStyle2.xm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3.emf"/><Relationship Id="rId31"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diagramLayout" Target="diagrams/layout1.xml"/><Relationship Id="rId27" Type="http://schemas.openxmlformats.org/officeDocument/2006/relationships/diagramLayout" Target="diagrams/layout2.xml"/><Relationship Id="rId30" Type="http://schemas.microsoft.com/office/2007/relationships/diagramDrawing" Target="diagrams/drawing2.xml"/><Relationship Id="rId35" Type="http://schemas.openxmlformats.org/officeDocument/2006/relationships/header" Target="header6.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www.iisd.org/sites/default/files/publications/igf-asm-global-trends.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6.jpe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6.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1169D41-BFF8-444F-BA21-2B0A766A76B2}" type="doc">
      <dgm:prSet loTypeId="urn:microsoft.com/office/officeart/2005/8/layout/bProcess3#1" loCatId="process" qsTypeId="urn:microsoft.com/office/officeart/2005/8/quickstyle/simple1" qsCatId="simple" csTypeId="urn:microsoft.com/office/officeart/2005/8/colors/accent1_2" csCatId="accent1" phldr="1"/>
      <dgm:spPr/>
      <dgm:t>
        <a:bodyPr/>
        <a:lstStyle/>
        <a:p>
          <a:endParaRPr lang="en-US"/>
        </a:p>
      </dgm:t>
    </dgm:pt>
    <dgm:pt modelId="{79401455-660E-4CB5-A41F-BC2F11C58FB5}">
      <dgm:prSet phldrT="[Text]"/>
      <dgm:spPr>
        <a:xfrm>
          <a:off x="2711"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Regional Coordination Platform </a:t>
          </a:r>
          <a:br>
            <a:rPr lang="en-US">
              <a:solidFill>
                <a:sysClr val="window" lastClr="FFFFFF"/>
              </a:solidFill>
              <a:latin typeface="Calibri" panose="020F0502020204030204"/>
              <a:ea typeface="+mn-ea"/>
              <a:cs typeface="+mn-cs"/>
            </a:rPr>
          </a:br>
          <a:r>
            <a:rPr lang="en-US">
              <a:solidFill>
                <a:sysClr val="window" lastClr="FFFFFF"/>
              </a:solidFill>
              <a:latin typeface="Calibri" panose="020F0502020204030204"/>
              <a:ea typeface="+mn-ea"/>
              <a:cs typeface="+mn-cs"/>
            </a:rPr>
            <a:t>(initially Bank-executed)</a:t>
          </a:r>
        </a:p>
      </dgm:t>
    </dgm:pt>
    <dgm:pt modelId="{1DA662F9-F543-4D96-BE67-E41A954B12CB}" type="parTrans" cxnId="{66C39BD5-477E-43CF-8E07-9CC7598138B0}">
      <dgm:prSet/>
      <dgm:spPr/>
      <dgm:t>
        <a:bodyPr/>
        <a:lstStyle/>
        <a:p>
          <a:endParaRPr lang="en-US"/>
        </a:p>
      </dgm:t>
    </dgm:pt>
    <dgm:pt modelId="{3215757E-D8B4-4880-A39C-1A354D3D6E97}" type="sibTrans" cxnId="{66C39BD5-477E-43CF-8E07-9CC7598138B0}">
      <dgm:prSet/>
      <dgm:spPr>
        <a:xfrm>
          <a:off x="1021584"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BE518F64-665C-4F65-877E-44AF13CD6202}">
      <dgm:prSet phldrT="[Text]"/>
      <dgm:spPr>
        <a:xfrm>
          <a:off x="1258138"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Program Steering Committee (PSC)</a:t>
          </a:r>
        </a:p>
      </dgm:t>
    </dgm:pt>
    <dgm:pt modelId="{FD306168-FEC0-4F0A-9E8F-898D7026963C}" type="parTrans" cxnId="{D45F3BCE-22B0-439A-B319-5A60100296F3}">
      <dgm:prSet/>
      <dgm:spPr/>
      <dgm:t>
        <a:bodyPr/>
        <a:lstStyle/>
        <a:p>
          <a:endParaRPr lang="en-US"/>
        </a:p>
      </dgm:t>
    </dgm:pt>
    <dgm:pt modelId="{535F9BE6-28E1-4266-A1B2-0CB0308D7B5A}" type="sibTrans" cxnId="{D45F3BCE-22B0-439A-B319-5A60100296F3}">
      <dgm:prSet/>
      <dgm:spPr>
        <a:xfrm>
          <a:off x="2277011"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53B67164-4BE0-4F4E-80F0-274FF055F2ED}">
      <dgm:prSet phldrT="[Text]"/>
      <dgm:spPr>
        <a:xfrm>
          <a:off x="2513565"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Focal Government Ministry:</a:t>
          </a:r>
        </a:p>
        <a:p>
          <a:pPr>
            <a:buNone/>
          </a:pPr>
          <a:r>
            <a:rPr lang="en-US">
              <a:solidFill>
                <a:sysClr val="window" lastClr="FFFFFF"/>
              </a:solidFill>
              <a:latin typeface="Calibri" panose="020F0502020204030204"/>
              <a:ea typeface="+mn-ea"/>
              <a:cs typeface="+mn-cs"/>
            </a:rPr>
            <a:t>Ministry of Environment and Forests</a:t>
          </a:r>
        </a:p>
      </dgm:t>
    </dgm:pt>
    <dgm:pt modelId="{8921E73C-98C6-4EC4-A198-6CA7148D8812}" type="parTrans" cxnId="{C782C1AB-BEF9-4C9A-916C-E12928AAEBAA}">
      <dgm:prSet/>
      <dgm:spPr/>
      <dgm:t>
        <a:bodyPr/>
        <a:lstStyle/>
        <a:p>
          <a:endParaRPr lang="en-US"/>
        </a:p>
      </dgm:t>
    </dgm:pt>
    <dgm:pt modelId="{BA902B07-0246-45AD-BDD4-744F9CCAEA74}" type="sibTrans" cxnId="{C782C1AB-BEF9-4C9A-916C-E12928AAEBAA}">
      <dgm:prSet/>
      <dgm: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CD3FC2E7-3E1A-46B6-87BA-6FAD01D53F75}">
      <dgm:prSet phldrT="[Text]"/>
      <dgm:spPr>
        <a:xfrm>
          <a:off x="2711"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Implementing Agency:</a:t>
          </a:r>
        </a:p>
        <a:p>
          <a:pPr>
            <a:buNone/>
          </a:pPr>
          <a:r>
            <a:rPr lang="en-US">
              <a:solidFill>
                <a:sysClr val="window" lastClr="FFFFFF"/>
              </a:solidFill>
              <a:latin typeface="Calibri" panose="020F0502020204030204"/>
              <a:ea typeface="+mn-ea"/>
              <a:cs typeface="+mn-cs"/>
            </a:rPr>
            <a:t>National Environmental Management Authority</a:t>
          </a:r>
        </a:p>
      </dgm:t>
    </dgm:pt>
    <dgm:pt modelId="{F84BAB2D-6FB0-4DD3-87F1-1A949EC7492D}" type="parTrans" cxnId="{87B7B226-6BD1-43B3-8B71-317002ED8C23}">
      <dgm:prSet/>
      <dgm:spPr/>
      <dgm:t>
        <a:bodyPr/>
        <a:lstStyle/>
        <a:p>
          <a:endParaRPr lang="en-US"/>
        </a:p>
      </dgm:t>
    </dgm:pt>
    <dgm:pt modelId="{A2A7FC63-A79C-4A9F-B030-68FB3CBBE040}" type="sibTrans" cxnId="{87B7B226-6BD1-43B3-8B71-317002ED8C23}">
      <dgm:prSet/>
      <dgm:spPr>
        <a:xfrm>
          <a:off x="1021584" y="1308134"/>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gm:spPr>
      <dgm:t>
        <a:bodyPr/>
        <a:lstStyle/>
        <a:p>
          <a:pPr>
            <a:buNone/>
          </a:pPr>
          <a:endParaRPr lang="en-US">
            <a:solidFill>
              <a:sysClr val="windowText" lastClr="000000">
                <a:hueOff val="0"/>
                <a:satOff val="0"/>
                <a:lumOff val="0"/>
                <a:alphaOff val="0"/>
              </a:sysClr>
            </a:solidFill>
            <a:latin typeface="Calibri" panose="020F0502020204030204"/>
            <a:ea typeface="+mn-ea"/>
            <a:cs typeface="+mn-cs"/>
          </a:endParaRPr>
        </a:p>
      </dgm:t>
    </dgm:pt>
    <dgm:pt modelId="{50AA0164-1590-4D96-8117-18D65A7AB79C}">
      <dgm:prSet phldrT="[Text]"/>
      <dgm:spPr>
        <a:xfrm>
          <a:off x="1258138"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pPr>
            <a:buNone/>
          </a:pPr>
          <a:r>
            <a:rPr lang="en-US">
              <a:solidFill>
                <a:sysClr val="window" lastClr="FFFFFF"/>
              </a:solidFill>
              <a:latin typeface="Calibri" panose="020F0502020204030204"/>
              <a:ea typeface="+mn-ea"/>
              <a:cs typeface="+mn-cs"/>
            </a:rPr>
            <a:t>County Governments</a:t>
          </a:r>
        </a:p>
      </dgm:t>
    </dgm:pt>
    <dgm:pt modelId="{F78D41B9-DD6B-4118-BF29-7A726DC71ADC}" type="parTrans" cxnId="{049FEED5-F232-459A-8A53-72AC78F0D8B3}">
      <dgm:prSet/>
      <dgm:spPr/>
      <dgm:t>
        <a:bodyPr/>
        <a:lstStyle/>
        <a:p>
          <a:endParaRPr lang="en-US"/>
        </a:p>
      </dgm:t>
    </dgm:pt>
    <dgm:pt modelId="{F6FBA7F8-76CE-41EE-A43C-962DE7420E90}" type="sibTrans" cxnId="{049FEED5-F232-459A-8A53-72AC78F0D8B3}">
      <dgm:prSet/>
      <dgm:spPr/>
      <dgm:t>
        <a:bodyPr/>
        <a:lstStyle/>
        <a:p>
          <a:endParaRPr lang="en-US"/>
        </a:p>
      </dgm:t>
    </dgm:pt>
    <dgm:pt modelId="{26601E73-6ACC-4A34-A734-8B2CEFBBF3F3}" type="pres">
      <dgm:prSet presAssocID="{D1169D41-BFF8-444F-BA21-2B0A766A76B2}" presName="Name0" presStyleCnt="0">
        <dgm:presLayoutVars>
          <dgm:dir/>
          <dgm:resizeHandles val="exact"/>
        </dgm:presLayoutVars>
      </dgm:prSet>
      <dgm:spPr/>
    </dgm:pt>
    <dgm:pt modelId="{E69B8A1E-6B5B-4EDE-8904-5A7F4D9B6D61}" type="pres">
      <dgm:prSet presAssocID="{79401455-660E-4CB5-A41F-BC2F11C58FB5}" presName="node" presStyleLbl="node1" presStyleIdx="0" presStyleCnt="5">
        <dgm:presLayoutVars>
          <dgm:bulletEnabled val="1"/>
        </dgm:presLayoutVars>
      </dgm:prSet>
      <dgm:spPr/>
    </dgm:pt>
    <dgm:pt modelId="{B8AB14A8-FA49-4972-8984-82DD3C9FBB8D}" type="pres">
      <dgm:prSet presAssocID="{3215757E-D8B4-4880-A39C-1A354D3D6E97}" presName="sibTrans" presStyleLbl="sibTrans1D1" presStyleIdx="0" presStyleCnt="4"/>
      <dgm:spPr/>
    </dgm:pt>
    <dgm:pt modelId="{AD1C780F-D4AC-4B86-B527-AFDD0040FDC5}" type="pres">
      <dgm:prSet presAssocID="{3215757E-D8B4-4880-A39C-1A354D3D6E97}" presName="connectorText" presStyleLbl="sibTrans1D1" presStyleIdx="0" presStyleCnt="4"/>
      <dgm:spPr/>
    </dgm:pt>
    <dgm:pt modelId="{D8FBD5D9-E4EA-44BE-A719-C631606CFB66}" type="pres">
      <dgm:prSet presAssocID="{BE518F64-665C-4F65-877E-44AF13CD6202}" presName="node" presStyleLbl="node1" presStyleIdx="1" presStyleCnt="5">
        <dgm:presLayoutVars>
          <dgm:bulletEnabled val="1"/>
        </dgm:presLayoutVars>
      </dgm:prSet>
      <dgm:spPr/>
    </dgm:pt>
    <dgm:pt modelId="{B87DE93C-1BFF-4171-ABC8-5FA36E2BA961}" type="pres">
      <dgm:prSet presAssocID="{535F9BE6-28E1-4266-A1B2-0CB0308D7B5A}" presName="sibTrans" presStyleLbl="sibTrans1D1" presStyleIdx="1" presStyleCnt="4"/>
      <dgm:spPr/>
    </dgm:pt>
    <dgm:pt modelId="{42A98A63-EA52-4917-A0C4-E4608B5E1904}" type="pres">
      <dgm:prSet presAssocID="{535F9BE6-28E1-4266-A1B2-0CB0308D7B5A}" presName="connectorText" presStyleLbl="sibTrans1D1" presStyleIdx="1" presStyleCnt="4"/>
      <dgm:spPr/>
    </dgm:pt>
    <dgm:pt modelId="{D07AC2F8-E87A-4F65-B71C-AB11BC31B9D2}" type="pres">
      <dgm:prSet presAssocID="{53B67164-4BE0-4F4E-80F0-274FF055F2ED}" presName="node" presStyleLbl="node1" presStyleIdx="2" presStyleCnt="5">
        <dgm:presLayoutVars>
          <dgm:bulletEnabled val="1"/>
        </dgm:presLayoutVars>
      </dgm:prSet>
      <dgm:spPr/>
    </dgm:pt>
    <dgm:pt modelId="{8C364C3C-B742-421F-9ED2-0BBBCA7D9368}" type="pres">
      <dgm:prSet presAssocID="{BA902B07-0246-45AD-BDD4-744F9CCAEA74}" presName="sibTrans" presStyleLbl="sibTrans1D1" presStyleIdx="2" presStyleCnt="4"/>
      <dgm:spPr/>
    </dgm:pt>
    <dgm:pt modelId="{AAB16BAF-5953-43F5-900C-D0BED45E1A42}" type="pres">
      <dgm:prSet presAssocID="{BA902B07-0246-45AD-BDD4-744F9CCAEA74}" presName="connectorText" presStyleLbl="sibTrans1D1" presStyleIdx="2" presStyleCnt="4"/>
      <dgm:spPr/>
    </dgm:pt>
    <dgm:pt modelId="{478D5C2D-08EB-4634-BD4D-0ED34B65667D}" type="pres">
      <dgm:prSet presAssocID="{CD3FC2E7-3E1A-46B6-87BA-6FAD01D53F75}" presName="node" presStyleLbl="node1" presStyleIdx="3" presStyleCnt="5">
        <dgm:presLayoutVars>
          <dgm:bulletEnabled val="1"/>
        </dgm:presLayoutVars>
      </dgm:prSet>
      <dgm:spPr/>
    </dgm:pt>
    <dgm:pt modelId="{92D790AE-23DA-42BB-9633-36B961A8E24D}" type="pres">
      <dgm:prSet presAssocID="{A2A7FC63-A79C-4A9F-B030-68FB3CBBE040}" presName="sibTrans" presStyleLbl="sibTrans1D1" presStyleIdx="3" presStyleCnt="4"/>
      <dgm:spPr/>
    </dgm:pt>
    <dgm:pt modelId="{24443A91-448A-431A-81D1-83039B0AA64B}" type="pres">
      <dgm:prSet presAssocID="{A2A7FC63-A79C-4A9F-B030-68FB3CBBE040}" presName="connectorText" presStyleLbl="sibTrans1D1" presStyleIdx="3" presStyleCnt="4"/>
      <dgm:spPr/>
    </dgm:pt>
    <dgm:pt modelId="{74AEC501-79AE-43DA-B02B-DFE843F1A137}" type="pres">
      <dgm:prSet presAssocID="{50AA0164-1590-4D96-8117-18D65A7AB79C}" presName="node" presStyleLbl="node1" presStyleIdx="4" presStyleCnt="5">
        <dgm:presLayoutVars>
          <dgm:bulletEnabled val="1"/>
        </dgm:presLayoutVars>
      </dgm:prSet>
      <dgm:spPr/>
    </dgm:pt>
  </dgm:ptLst>
  <dgm:cxnLst>
    <dgm:cxn modelId="{271F2A14-E3A4-45EB-A595-F26E4998D2F2}" type="presOf" srcId="{A2A7FC63-A79C-4A9F-B030-68FB3CBBE040}" destId="{24443A91-448A-431A-81D1-83039B0AA64B}" srcOrd="1" destOrd="0" presId="urn:microsoft.com/office/officeart/2005/8/layout/bProcess3#1"/>
    <dgm:cxn modelId="{52345625-C0A0-452F-9D05-256E13058354}" type="presOf" srcId="{BA902B07-0246-45AD-BDD4-744F9CCAEA74}" destId="{AAB16BAF-5953-43F5-900C-D0BED45E1A42}" srcOrd="1" destOrd="0" presId="urn:microsoft.com/office/officeart/2005/8/layout/bProcess3#1"/>
    <dgm:cxn modelId="{87B7B226-6BD1-43B3-8B71-317002ED8C23}" srcId="{D1169D41-BFF8-444F-BA21-2B0A766A76B2}" destId="{CD3FC2E7-3E1A-46B6-87BA-6FAD01D53F75}" srcOrd="3" destOrd="0" parTransId="{F84BAB2D-6FB0-4DD3-87F1-1A949EC7492D}" sibTransId="{A2A7FC63-A79C-4A9F-B030-68FB3CBBE040}"/>
    <dgm:cxn modelId="{A6561433-8BDF-4218-B506-5EB43AD8F2C0}" type="presOf" srcId="{D1169D41-BFF8-444F-BA21-2B0A766A76B2}" destId="{26601E73-6ACC-4A34-A734-8B2CEFBBF3F3}" srcOrd="0" destOrd="0" presId="urn:microsoft.com/office/officeart/2005/8/layout/bProcess3#1"/>
    <dgm:cxn modelId="{C2E27B67-ADF4-4AFA-A899-B54DEC904B5F}" type="presOf" srcId="{53B67164-4BE0-4F4E-80F0-274FF055F2ED}" destId="{D07AC2F8-E87A-4F65-B71C-AB11BC31B9D2}" srcOrd="0" destOrd="0" presId="urn:microsoft.com/office/officeart/2005/8/layout/bProcess3#1"/>
    <dgm:cxn modelId="{19CB9151-FB58-40C0-9EF9-BC2D50731ADC}" type="presOf" srcId="{CD3FC2E7-3E1A-46B6-87BA-6FAD01D53F75}" destId="{478D5C2D-08EB-4634-BD4D-0ED34B65667D}" srcOrd="0" destOrd="0" presId="urn:microsoft.com/office/officeart/2005/8/layout/bProcess3#1"/>
    <dgm:cxn modelId="{9ABBBF97-9CB5-4BF4-B6F2-5D80C07237DC}" type="presOf" srcId="{50AA0164-1590-4D96-8117-18D65A7AB79C}" destId="{74AEC501-79AE-43DA-B02B-DFE843F1A137}" srcOrd="0" destOrd="0" presId="urn:microsoft.com/office/officeart/2005/8/layout/bProcess3#1"/>
    <dgm:cxn modelId="{EC60569A-F3FC-4B46-B2F4-B774893E7451}" type="presOf" srcId="{79401455-660E-4CB5-A41F-BC2F11C58FB5}" destId="{E69B8A1E-6B5B-4EDE-8904-5A7F4D9B6D61}" srcOrd="0" destOrd="0" presId="urn:microsoft.com/office/officeart/2005/8/layout/bProcess3#1"/>
    <dgm:cxn modelId="{4183C59D-54A4-4EC1-AEEE-D43C14B09BC2}" type="presOf" srcId="{BE518F64-665C-4F65-877E-44AF13CD6202}" destId="{D8FBD5D9-E4EA-44BE-A719-C631606CFB66}" srcOrd="0" destOrd="0" presId="urn:microsoft.com/office/officeart/2005/8/layout/bProcess3#1"/>
    <dgm:cxn modelId="{C782C1AB-BEF9-4C9A-916C-E12928AAEBAA}" srcId="{D1169D41-BFF8-444F-BA21-2B0A766A76B2}" destId="{53B67164-4BE0-4F4E-80F0-274FF055F2ED}" srcOrd="2" destOrd="0" parTransId="{8921E73C-98C6-4EC4-A198-6CA7148D8812}" sibTransId="{BA902B07-0246-45AD-BDD4-744F9CCAEA74}"/>
    <dgm:cxn modelId="{38BEFAAE-5161-4AD3-8C00-001500EF8457}" type="presOf" srcId="{BA902B07-0246-45AD-BDD4-744F9CCAEA74}" destId="{8C364C3C-B742-421F-9ED2-0BBBCA7D9368}" srcOrd="0" destOrd="0" presId="urn:microsoft.com/office/officeart/2005/8/layout/bProcess3#1"/>
    <dgm:cxn modelId="{D45F3BCE-22B0-439A-B319-5A60100296F3}" srcId="{D1169D41-BFF8-444F-BA21-2B0A766A76B2}" destId="{BE518F64-665C-4F65-877E-44AF13CD6202}" srcOrd="1" destOrd="0" parTransId="{FD306168-FEC0-4F0A-9E8F-898D7026963C}" sibTransId="{535F9BE6-28E1-4266-A1B2-0CB0308D7B5A}"/>
    <dgm:cxn modelId="{4C95B0CE-69FF-42D5-9CDB-2D1BF5490C9E}" type="presOf" srcId="{A2A7FC63-A79C-4A9F-B030-68FB3CBBE040}" destId="{92D790AE-23DA-42BB-9633-36B961A8E24D}" srcOrd="0" destOrd="0" presId="urn:microsoft.com/office/officeart/2005/8/layout/bProcess3#1"/>
    <dgm:cxn modelId="{66C39BD5-477E-43CF-8E07-9CC7598138B0}" srcId="{D1169D41-BFF8-444F-BA21-2B0A766A76B2}" destId="{79401455-660E-4CB5-A41F-BC2F11C58FB5}" srcOrd="0" destOrd="0" parTransId="{1DA662F9-F543-4D96-BE67-E41A954B12CB}" sibTransId="{3215757E-D8B4-4880-A39C-1A354D3D6E97}"/>
    <dgm:cxn modelId="{049FEED5-F232-459A-8A53-72AC78F0D8B3}" srcId="{D1169D41-BFF8-444F-BA21-2B0A766A76B2}" destId="{50AA0164-1590-4D96-8117-18D65A7AB79C}" srcOrd="4" destOrd="0" parTransId="{F78D41B9-DD6B-4118-BF29-7A726DC71ADC}" sibTransId="{F6FBA7F8-76CE-41EE-A43C-962DE7420E90}"/>
    <dgm:cxn modelId="{A89E5ED6-6D81-45C7-B3E7-22B58E0BDD17}" type="presOf" srcId="{3215757E-D8B4-4880-A39C-1A354D3D6E97}" destId="{AD1C780F-D4AC-4B86-B527-AFDD0040FDC5}" srcOrd="1" destOrd="0" presId="urn:microsoft.com/office/officeart/2005/8/layout/bProcess3#1"/>
    <dgm:cxn modelId="{33FA3CD9-AB79-4168-8E23-E2F10E8179D6}" type="presOf" srcId="{3215757E-D8B4-4880-A39C-1A354D3D6E97}" destId="{B8AB14A8-FA49-4972-8984-82DD3C9FBB8D}" srcOrd="0" destOrd="0" presId="urn:microsoft.com/office/officeart/2005/8/layout/bProcess3#1"/>
    <dgm:cxn modelId="{AF71F5EB-20C4-4367-A77E-F6555D38A608}" type="presOf" srcId="{535F9BE6-28E1-4266-A1B2-0CB0308D7B5A}" destId="{42A98A63-EA52-4917-A0C4-E4608B5E1904}" srcOrd="1" destOrd="0" presId="urn:microsoft.com/office/officeart/2005/8/layout/bProcess3#1"/>
    <dgm:cxn modelId="{134D1DEF-AC90-4CD5-9CCA-FA9C77E42802}" type="presOf" srcId="{535F9BE6-28E1-4266-A1B2-0CB0308D7B5A}" destId="{B87DE93C-1BFF-4171-ABC8-5FA36E2BA961}" srcOrd="0" destOrd="0" presId="urn:microsoft.com/office/officeart/2005/8/layout/bProcess3#1"/>
    <dgm:cxn modelId="{0877E91F-8879-4813-A1B8-781D526E0C19}" type="presParOf" srcId="{26601E73-6ACC-4A34-A734-8B2CEFBBF3F3}" destId="{E69B8A1E-6B5B-4EDE-8904-5A7F4D9B6D61}" srcOrd="0" destOrd="0" presId="urn:microsoft.com/office/officeart/2005/8/layout/bProcess3#1"/>
    <dgm:cxn modelId="{A0B477EA-FFD4-4E97-9262-35803C9850D6}" type="presParOf" srcId="{26601E73-6ACC-4A34-A734-8B2CEFBBF3F3}" destId="{B8AB14A8-FA49-4972-8984-82DD3C9FBB8D}" srcOrd="1" destOrd="0" presId="urn:microsoft.com/office/officeart/2005/8/layout/bProcess3#1"/>
    <dgm:cxn modelId="{F829256D-595E-4BCA-BB17-FA5108B6B09E}" type="presParOf" srcId="{B8AB14A8-FA49-4972-8984-82DD3C9FBB8D}" destId="{AD1C780F-D4AC-4B86-B527-AFDD0040FDC5}" srcOrd="0" destOrd="0" presId="urn:microsoft.com/office/officeart/2005/8/layout/bProcess3#1"/>
    <dgm:cxn modelId="{F6BD1B56-6D17-4DEA-B805-6B1F4E8D7079}" type="presParOf" srcId="{26601E73-6ACC-4A34-A734-8B2CEFBBF3F3}" destId="{D8FBD5D9-E4EA-44BE-A719-C631606CFB66}" srcOrd="2" destOrd="0" presId="urn:microsoft.com/office/officeart/2005/8/layout/bProcess3#1"/>
    <dgm:cxn modelId="{3C1D28C4-5317-475D-B1FE-C1090C3F2A8D}" type="presParOf" srcId="{26601E73-6ACC-4A34-A734-8B2CEFBBF3F3}" destId="{B87DE93C-1BFF-4171-ABC8-5FA36E2BA961}" srcOrd="3" destOrd="0" presId="urn:microsoft.com/office/officeart/2005/8/layout/bProcess3#1"/>
    <dgm:cxn modelId="{74882C3E-7646-46E6-AAC1-ACFD7D3F8044}" type="presParOf" srcId="{B87DE93C-1BFF-4171-ABC8-5FA36E2BA961}" destId="{42A98A63-EA52-4917-A0C4-E4608B5E1904}" srcOrd="0" destOrd="0" presId="urn:microsoft.com/office/officeart/2005/8/layout/bProcess3#1"/>
    <dgm:cxn modelId="{15B46462-F9AD-4748-ABA8-51148908C1BF}" type="presParOf" srcId="{26601E73-6ACC-4A34-A734-8B2CEFBBF3F3}" destId="{D07AC2F8-E87A-4F65-B71C-AB11BC31B9D2}" srcOrd="4" destOrd="0" presId="urn:microsoft.com/office/officeart/2005/8/layout/bProcess3#1"/>
    <dgm:cxn modelId="{55ECA179-CF06-41C3-9286-04F9AE176B96}" type="presParOf" srcId="{26601E73-6ACC-4A34-A734-8B2CEFBBF3F3}" destId="{8C364C3C-B742-421F-9ED2-0BBBCA7D9368}" srcOrd="5" destOrd="0" presId="urn:microsoft.com/office/officeart/2005/8/layout/bProcess3#1"/>
    <dgm:cxn modelId="{CF365ECE-8332-4C7A-8F5B-648F16F4551F}" type="presParOf" srcId="{8C364C3C-B742-421F-9ED2-0BBBCA7D9368}" destId="{AAB16BAF-5953-43F5-900C-D0BED45E1A42}" srcOrd="0" destOrd="0" presId="urn:microsoft.com/office/officeart/2005/8/layout/bProcess3#1"/>
    <dgm:cxn modelId="{9F3C5824-4896-47C4-A2CB-581E4804296A}" type="presParOf" srcId="{26601E73-6ACC-4A34-A734-8B2CEFBBF3F3}" destId="{478D5C2D-08EB-4634-BD4D-0ED34B65667D}" srcOrd="6" destOrd="0" presId="urn:microsoft.com/office/officeart/2005/8/layout/bProcess3#1"/>
    <dgm:cxn modelId="{92DA2BD1-7FA1-436A-AF49-7DB867B270F7}" type="presParOf" srcId="{26601E73-6ACC-4A34-A734-8B2CEFBBF3F3}" destId="{92D790AE-23DA-42BB-9633-36B961A8E24D}" srcOrd="7" destOrd="0" presId="urn:microsoft.com/office/officeart/2005/8/layout/bProcess3#1"/>
    <dgm:cxn modelId="{9CB0D014-A1BF-429A-8339-FDC223B90139}" type="presParOf" srcId="{92D790AE-23DA-42BB-9633-36B961A8E24D}" destId="{24443A91-448A-431A-81D1-83039B0AA64B}" srcOrd="0" destOrd="0" presId="urn:microsoft.com/office/officeart/2005/8/layout/bProcess3#1"/>
    <dgm:cxn modelId="{F0290D16-4F9C-4B5F-8D79-CC575AFEA159}" type="presParOf" srcId="{26601E73-6ACC-4A34-A734-8B2CEFBBF3F3}" destId="{74AEC501-79AE-43DA-B02B-DFE843F1A137}" srcOrd="8" destOrd="0" presId="urn:microsoft.com/office/officeart/2005/8/layout/bProcess3#1"/>
  </dgm:cxnLst>
  <dgm:bg/>
  <dgm:whole/>
  <dgm:extLst>
    <a:ext uri="http://schemas.microsoft.com/office/drawing/2008/diagram">
      <dsp:dataModelExt xmlns:dsp="http://schemas.microsoft.com/office/drawing/2008/diagram" relId="rId25"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4DE5033-B555-4C71-859A-13180ACC4C9B}" type="doc">
      <dgm:prSet loTypeId="urn:microsoft.com/office/officeart/2011/layout/CircleProcess" loCatId="process" qsTypeId="urn:microsoft.com/office/officeart/2005/8/quickstyle/simple1" qsCatId="simple" csTypeId="urn:microsoft.com/office/officeart/2005/8/colors/colorful1" csCatId="colorful" phldr="1"/>
      <dgm:spPr/>
      <dgm:t>
        <a:bodyPr/>
        <a:lstStyle/>
        <a:p>
          <a:endParaRPr lang="en-US"/>
        </a:p>
      </dgm:t>
    </dgm:pt>
    <dgm:pt modelId="{8FE25EB2-73E9-41E7-80CD-CB04242440C1}">
      <dgm:prSet custT="1"/>
      <dgm:spPr/>
      <dgm:t>
        <a:bodyPr/>
        <a:lstStyle/>
        <a:p>
          <a:r>
            <a:rPr lang="en-US" sz="900"/>
            <a:t>IDA (GEF Grant Account) </a:t>
          </a:r>
        </a:p>
      </dgm:t>
    </dgm:pt>
    <dgm:pt modelId="{AAD01219-72A0-48B6-A87B-C8FCC9F676AD}" type="parTrans" cxnId="{78418C77-149B-448C-855C-43B539C70BBA}">
      <dgm:prSet/>
      <dgm:spPr/>
      <dgm:t>
        <a:bodyPr/>
        <a:lstStyle/>
        <a:p>
          <a:endParaRPr lang="en-US" sz="2000"/>
        </a:p>
      </dgm:t>
    </dgm:pt>
    <dgm:pt modelId="{5EC8D15B-912A-484B-AA4D-14A2F797EBFC}" type="sibTrans" cxnId="{78418C77-149B-448C-855C-43B539C70BBA}">
      <dgm:prSet/>
      <dgm:spPr/>
      <dgm:t>
        <a:bodyPr/>
        <a:lstStyle/>
        <a:p>
          <a:endParaRPr lang="en-US" sz="2000"/>
        </a:p>
      </dgm:t>
    </dgm:pt>
    <dgm:pt modelId="{06E9E615-C3A7-4FFC-BC9A-911830E084BE}">
      <dgm:prSet phldrT="[Text]" custT="1"/>
      <dgm:spPr/>
      <dgm:t>
        <a:bodyPr/>
        <a:lstStyle/>
        <a:p>
          <a:r>
            <a:rPr lang="en-US" sz="900"/>
            <a:t>Designated Account DA (USD)- MOEF</a:t>
          </a:r>
        </a:p>
      </dgm:t>
    </dgm:pt>
    <dgm:pt modelId="{4DA3DC4B-CD21-4885-9357-DD270037D82A}" type="parTrans" cxnId="{FE44C58A-DE21-4BB1-93A7-C7724199716C}">
      <dgm:prSet/>
      <dgm:spPr/>
      <dgm:t>
        <a:bodyPr/>
        <a:lstStyle/>
        <a:p>
          <a:endParaRPr lang="en-US" sz="2000"/>
        </a:p>
      </dgm:t>
    </dgm:pt>
    <dgm:pt modelId="{097CF9F2-A22F-4E8B-A1D2-4E50FB350EC3}" type="sibTrans" cxnId="{FE44C58A-DE21-4BB1-93A7-C7724199716C}">
      <dgm:prSet/>
      <dgm:spPr/>
      <dgm:t>
        <a:bodyPr/>
        <a:lstStyle/>
        <a:p>
          <a:endParaRPr lang="en-US" sz="2000"/>
        </a:p>
      </dgm:t>
    </dgm:pt>
    <dgm:pt modelId="{2A7ECF98-31CA-4FE2-9B32-8091BA2A2826}">
      <dgm:prSet phldrT="[Text]" custT="1"/>
      <dgm:spPr/>
      <dgm:t>
        <a:bodyPr/>
        <a:lstStyle/>
        <a:p>
          <a:r>
            <a:rPr lang="en-US" sz="900"/>
            <a:t>NEMA Project Account (KSHS) Commercial bank</a:t>
          </a:r>
        </a:p>
      </dgm:t>
    </dgm:pt>
    <dgm:pt modelId="{9B0C6808-3325-4F59-BB6D-AABB970112D8}" type="parTrans" cxnId="{F1215C52-2FF5-45DF-9EA2-C03D96DE031C}">
      <dgm:prSet/>
      <dgm:spPr/>
      <dgm:t>
        <a:bodyPr/>
        <a:lstStyle/>
        <a:p>
          <a:endParaRPr lang="en-US" sz="2000"/>
        </a:p>
      </dgm:t>
    </dgm:pt>
    <dgm:pt modelId="{11728D0C-94C7-4BA5-AED8-7157C49299F8}" type="sibTrans" cxnId="{F1215C52-2FF5-45DF-9EA2-C03D96DE031C}">
      <dgm:prSet/>
      <dgm:spPr/>
      <dgm:t>
        <a:bodyPr/>
        <a:lstStyle/>
        <a:p>
          <a:endParaRPr lang="en-US" sz="2000"/>
        </a:p>
      </dgm:t>
    </dgm:pt>
    <dgm:pt modelId="{1E180EB3-BF41-44FF-8C01-2462139A12BD}">
      <dgm:prSet phldrT="[Text]" custT="1"/>
      <dgm:spPr/>
      <dgm:t>
        <a:bodyPr/>
        <a:lstStyle/>
        <a:p>
          <a:r>
            <a:rPr lang="en-US" sz="900"/>
            <a:t>Payments in KSH for eligible goods, consultancies, grants, operating costs including for county-level pilot activities </a:t>
          </a:r>
        </a:p>
      </dgm:t>
    </dgm:pt>
    <dgm:pt modelId="{8F37B4F5-A19C-4B3A-98C2-AF34E7CC0CE9}" type="parTrans" cxnId="{BF8500FB-CFA5-4093-B256-7CC4D537A586}">
      <dgm:prSet/>
      <dgm:spPr/>
      <dgm:t>
        <a:bodyPr/>
        <a:lstStyle/>
        <a:p>
          <a:endParaRPr lang="en-US" sz="2000"/>
        </a:p>
      </dgm:t>
    </dgm:pt>
    <dgm:pt modelId="{EDF6EA32-0CEA-422C-A822-C6A9002E4FBA}" type="sibTrans" cxnId="{BF8500FB-CFA5-4093-B256-7CC4D537A586}">
      <dgm:prSet/>
      <dgm:spPr/>
      <dgm:t>
        <a:bodyPr/>
        <a:lstStyle/>
        <a:p>
          <a:endParaRPr lang="en-US" sz="2000"/>
        </a:p>
      </dgm:t>
    </dgm:pt>
    <dgm:pt modelId="{1F4D3FA7-D519-4E47-A57F-A51F572CFBD1}" type="pres">
      <dgm:prSet presAssocID="{A4DE5033-B555-4C71-859A-13180ACC4C9B}" presName="Name0" presStyleCnt="0">
        <dgm:presLayoutVars>
          <dgm:chMax val="11"/>
          <dgm:chPref val="11"/>
          <dgm:dir/>
          <dgm:resizeHandles/>
        </dgm:presLayoutVars>
      </dgm:prSet>
      <dgm:spPr/>
    </dgm:pt>
    <dgm:pt modelId="{B9A05278-2404-42FF-86B1-A4312F905511}" type="pres">
      <dgm:prSet presAssocID="{1E180EB3-BF41-44FF-8C01-2462139A12BD}" presName="Accent4" presStyleCnt="0"/>
      <dgm:spPr/>
    </dgm:pt>
    <dgm:pt modelId="{ECBF32E3-3BE0-467B-8D2E-46332D8AED9B}" type="pres">
      <dgm:prSet presAssocID="{1E180EB3-BF41-44FF-8C01-2462139A12BD}" presName="Accent" presStyleLbl="node1" presStyleIdx="0" presStyleCnt="4"/>
      <dgm:spPr/>
    </dgm:pt>
    <dgm:pt modelId="{B41E9CE6-12EE-419A-B25E-524B80BE08F2}" type="pres">
      <dgm:prSet presAssocID="{1E180EB3-BF41-44FF-8C01-2462139A12BD}" presName="ParentBackground4" presStyleCnt="0"/>
      <dgm:spPr/>
    </dgm:pt>
    <dgm:pt modelId="{DBB176F0-23C8-45AF-8C71-0048931FFD1B}" type="pres">
      <dgm:prSet presAssocID="{1E180EB3-BF41-44FF-8C01-2462139A12BD}" presName="ParentBackground" presStyleLbl="fgAcc1" presStyleIdx="0" presStyleCnt="4"/>
      <dgm:spPr/>
    </dgm:pt>
    <dgm:pt modelId="{E6481C90-6DC8-4A5E-805A-E667CB903B4A}" type="pres">
      <dgm:prSet presAssocID="{1E180EB3-BF41-44FF-8C01-2462139A12BD}" presName="Parent4" presStyleLbl="revTx" presStyleIdx="0" presStyleCnt="0">
        <dgm:presLayoutVars>
          <dgm:chMax val="1"/>
          <dgm:chPref val="1"/>
          <dgm:bulletEnabled val="1"/>
        </dgm:presLayoutVars>
      </dgm:prSet>
      <dgm:spPr/>
    </dgm:pt>
    <dgm:pt modelId="{D8A171F4-D9E6-4A57-8EDB-25EE33545780}" type="pres">
      <dgm:prSet presAssocID="{2A7ECF98-31CA-4FE2-9B32-8091BA2A2826}" presName="Accent3" presStyleCnt="0"/>
      <dgm:spPr/>
    </dgm:pt>
    <dgm:pt modelId="{34D895E7-9BB9-4932-96D7-8F926656232B}" type="pres">
      <dgm:prSet presAssocID="{2A7ECF98-31CA-4FE2-9B32-8091BA2A2826}" presName="Accent" presStyleLbl="node1" presStyleIdx="1" presStyleCnt="4"/>
      <dgm:spPr/>
    </dgm:pt>
    <dgm:pt modelId="{74386502-FBD9-4C2C-BCE0-6C4562A4EA11}" type="pres">
      <dgm:prSet presAssocID="{2A7ECF98-31CA-4FE2-9B32-8091BA2A2826}" presName="ParentBackground3" presStyleCnt="0"/>
      <dgm:spPr/>
    </dgm:pt>
    <dgm:pt modelId="{112D2440-0A18-42EB-B832-CDDD639E88E8}" type="pres">
      <dgm:prSet presAssocID="{2A7ECF98-31CA-4FE2-9B32-8091BA2A2826}" presName="ParentBackground" presStyleLbl="fgAcc1" presStyleIdx="1" presStyleCnt="4"/>
      <dgm:spPr/>
    </dgm:pt>
    <dgm:pt modelId="{B640F8D2-B246-4A9C-8877-39F8C03DC3CF}" type="pres">
      <dgm:prSet presAssocID="{2A7ECF98-31CA-4FE2-9B32-8091BA2A2826}" presName="Parent3" presStyleLbl="revTx" presStyleIdx="0" presStyleCnt="0">
        <dgm:presLayoutVars>
          <dgm:chMax val="1"/>
          <dgm:chPref val="1"/>
          <dgm:bulletEnabled val="1"/>
        </dgm:presLayoutVars>
      </dgm:prSet>
      <dgm:spPr/>
    </dgm:pt>
    <dgm:pt modelId="{595118A7-1DFD-4F4A-8099-B88D2D14992E}" type="pres">
      <dgm:prSet presAssocID="{06E9E615-C3A7-4FFC-BC9A-911830E084BE}" presName="Accent2" presStyleCnt="0"/>
      <dgm:spPr/>
    </dgm:pt>
    <dgm:pt modelId="{12D0AE73-8DD1-4EAF-ABAD-E14229E0E970}" type="pres">
      <dgm:prSet presAssocID="{06E9E615-C3A7-4FFC-BC9A-911830E084BE}" presName="Accent" presStyleLbl="node1" presStyleIdx="2" presStyleCnt="4"/>
      <dgm:spPr/>
    </dgm:pt>
    <dgm:pt modelId="{FC6EB208-F011-4377-8216-F8AC88D64E6C}" type="pres">
      <dgm:prSet presAssocID="{06E9E615-C3A7-4FFC-BC9A-911830E084BE}" presName="ParentBackground2" presStyleCnt="0"/>
      <dgm:spPr/>
    </dgm:pt>
    <dgm:pt modelId="{4D740DE6-9F46-486E-9D00-D95E424496C3}" type="pres">
      <dgm:prSet presAssocID="{06E9E615-C3A7-4FFC-BC9A-911830E084BE}" presName="ParentBackground" presStyleLbl="fgAcc1" presStyleIdx="2" presStyleCnt="4"/>
      <dgm:spPr/>
    </dgm:pt>
    <dgm:pt modelId="{6D2AE301-EC07-4D1D-9DB4-72DD644DACFA}" type="pres">
      <dgm:prSet presAssocID="{06E9E615-C3A7-4FFC-BC9A-911830E084BE}" presName="Parent2" presStyleLbl="revTx" presStyleIdx="0" presStyleCnt="0">
        <dgm:presLayoutVars>
          <dgm:chMax val="1"/>
          <dgm:chPref val="1"/>
          <dgm:bulletEnabled val="1"/>
        </dgm:presLayoutVars>
      </dgm:prSet>
      <dgm:spPr/>
    </dgm:pt>
    <dgm:pt modelId="{16647AD3-158D-481D-8096-AEF8376B182A}" type="pres">
      <dgm:prSet presAssocID="{8FE25EB2-73E9-41E7-80CD-CB04242440C1}" presName="Accent1" presStyleCnt="0"/>
      <dgm:spPr/>
    </dgm:pt>
    <dgm:pt modelId="{13D1A08D-5546-4AD6-8039-C37B8ECB4965}" type="pres">
      <dgm:prSet presAssocID="{8FE25EB2-73E9-41E7-80CD-CB04242440C1}" presName="Accent" presStyleLbl="node1" presStyleIdx="3" presStyleCnt="4"/>
      <dgm:spPr/>
    </dgm:pt>
    <dgm:pt modelId="{5690441F-B809-4642-B5FD-B247621322A3}" type="pres">
      <dgm:prSet presAssocID="{8FE25EB2-73E9-41E7-80CD-CB04242440C1}" presName="ParentBackground1" presStyleCnt="0"/>
      <dgm:spPr/>
    </dgm:pt>
    <dgm:pt modelId="{EC20C866-095A-4417-AD11-A094CCF82169}" type="pres">
      <dgm:prSet presAssocID="{8FE25EB2-73E9-41E7-80CD-CB04242440C1}" presName="ParentBackground" presStyleLbl="fgAcc1" presStyleIdx="3" presStyleCnt="4"/>
      <dgm:spPr/>
    </dgm:pt>
    <dgm:pt modelId="{2D95D4FB-AA66-4280-A701-BF5FE31B1472}" type="pres">
      <dgm:prSet presAssocID="{8FE25EB2-73E9-41E7-80CD-CB04242440C1}" presName="Parent1" presStyleLbl="revTx" presStyleIdx="0" presStyleCnt="0">
        <dgm:presLayoutVars>
          <dgm:chMax val="1"/>
          <dgm:chPref val="1"/>
          <dgm:bulletEnabled val="1"/>
        </dgm:presLayoutVars>
      </dgm:prSet>
      <dgm:spPr/>
    </dgm:pt>
  </dgm:ptLst>
  <dgm:cxnLst>
    <dgm:cxn modelId="{26524442-2E30-435A-BA3A-1247D7FB9008}" type="presOf" srcId="{06E9E615-C3A7-4FFC-BC9A-911830E084BE}" destId="{6D2AE301-EC07-4D1D-9DB4-72DD644DACFA}" srcOrd="1" destOrd="0" presId="urn:microsoft.com/office/officeart/2011/layout/CircleProcess"/>
    <dgm:cxn modelId="{F1215C52-2FF5-45DF-9EA2-C03D96DE031C}" srcId="{A4DE5033-B555-4C71-859A-13180ACC4C9B}" destId="{2A7ECF98-31CA-4FE2-9B32-8091BA2A2826}" srcOrd="2" destOrd="0" parTransId="{9B0C6808-3325-4F59-BB6D-AABB970112D8}" sibTransId="{11728D0C-94C7-4BA5-AED8-7157C49299F8}"/>
    <dgm:cxn modelId="{78418C77-149B-448C-855C-43B539C70BBA}" srcId="{A4DE5033-B555-4C71-859A-13180ACC4C9B}" destId="{8FE25EB2-73E9-41E7-80CD-CB04242440C1}" srcOrd="0" destOrd="0" parTransId="{AAD01219-72A0-48B6-A87B-C8FCC9F676AD}" sibTransId="{5EC8D15B-912A-484B-AA4D-14A2F797EBFC}"/>
    <dgm:cxn modelId="{755E167B-3C23-4CF1-8190-37D75B53F1AD}" type="presOf" srcId="{A4DE5033-B555-4C71-859A-13180ACC4C9B}" destId="{1F4D3FA7-D519-4E47-A57F-A51F572CFBD1}" srcOrd="0" destOrd="0" presId="urn:microsoft.com/office/officeart/2011/layout/CircleProcess"/>
    <dgm:cxn modelId="{FE44C58A-DE21-4BB1-93A7-C7724199716C}" srcId="{A4DE5033-B555-4C71-859A-13180ACC4C9B}" destId="{06E9E615-C3A7-4FFC-BC9A-911830E084BE}" srcOrd="1" destOrd="0" parTransId="{4DA3DC4B-CD21-4885-9357-DD270037D82A}" sibTransId="{097CF9F2-A22F-4E8B-A1D2-4E50FB350EC3}"/>
    <dgm:cxn modelId="{92F4518C-AE3F-4D3A-9ABE-FD4C12FFD1D2}" type="presOf" srcId="{8FE25EB2-73E9-41E7-80CD-CB04242440C1}" destId="{2D95D4FB-AA66-4280-A701-BF5FE31B1472}" srcOrd="1" destOrd="0" presId="urn:microsoft.com/office/officeart/2011/layout/CircleProcess"/>
    <dgm:cxn modelId="{74D1AEA8-4DB7-4F03-95BD-94265EC49C98}" type="presOf" srcId="{06E9E615-C3A7-4FFC-BC9A-911830E084BE}" destId="{4D740DE6-9F46-486E-9D00-D95E424496C3}" srcOrd="0" destOrd="0" presId="urn:microsoft.com/office/officeart/2011/layout/CircleProcess"/>
    <dgm:cxn modelId="{179E98AF-E891-43A9-B385-B30BF023A0EF}" type="presOf" srcId="{1E180EB3-BF41-44FF-8C01-2462139A12BD}" destId="{E6481C90-6DC8-4A5E-805A-E667CB903B4A}" srcOrd="1" destOrd="0" presId="urn:microsoft.com/office/officeart/2011/layout/CircleProcess"/>
    <dgm:cxn modelId="{8A503DD7-22C0-49A9-8EE6-E0C1B6B2D040}" type="presOf" srcId="{8FE25EB2-73E9-41E7-80CD-CB04242440C1}" destId="{EC20C866-095A-4417-AD11-A094CCF82169}" srcOrd="0" destOrd="0" presId="urn:microsoft.com/office/officeart/2011/layout/CircleProcess"/>
    <dgm:cxn modelId="{843028DC-FAEC-420B-BDAD-32D63721D1B2}" type="presOf" srcId="{2A7ECF98-31CA-4FE2-9B32-8091BA2A2826}" destId="{B640F8D2-B246-4A9C-8877-39F8C03DC3CF}" srcOrd="1" destOrd="0" presId="urn:microsoft.com/office/officeart/2011/layout/CircleProcess"/>
    <dgm:cxn modelId="{D897ECE1-1E1A-44F8-B630-AC08CDA007DB}" type="presOf" srcId="{2A7ECF98-31CA-4FE2-9B32-8091BA2A2826}" destId="{112D2440-0A18-42EB-B832-CDDD639E88E8}" srcOrd="0" destOrd="0" presId="urn:microsoft.com/office/officeart/2011/layout/CircleProcess"/>
    <dgm:cxn modelId="{6DCADDE7-EF77-4666-8749-7C4DB4B14B60}" type="presOf" srcId="{1E180EB3-BF41-44FF-8C01-2462139A12BD}" destId="{DBB176F0-23C8-45AF-8C71-0048931FFD1B}" srcOrd="0" destOrd="0" presId="urn:microsoft.com/office/officeart/2011/layout/CircleProcess"/>
    <dgm:cxn modelId="{BF8500FB-CFA5-4093-B256-7CC4D537A586}" srcId="{A4DE5033-B555-4C71-859A-13180ACC4C9B}" destId="{1E180EB3-BF41-44FF-8C01-2462139A12BD}" srcOrd="3" destOrd="0" parTransId="{8F37B4F5-A19C-4B3A-98C2-AF34E7CC0CE9}" sibTransId="{EDF6EA32-0CEA-422C-A822-C6A9002E4FBA}"/>
    <dgm:cxn modelId="{D1669894-26C2-4689-93F0-58521FD100F4}" type="presParOf" srcId="{1F4D3FA7-D519-4E47-A57F-A51F572CFBD1}" destId="{B9A05278-2404-42FF-86B1-A4312F905511}" srcOrd="0" destOrd="0" presId="urn:microsoft.com/office/officeart/2011/layout/CircleProcess"/>
    <dgm:cxn modelId="{82FA0D10-2486-430C-AAD6-4BC4A125432F}" type="presParOf" srcId="{B9A05278-2404-42FF-86B1-A4312F905511}" destId="{ECBF32E3-3BE0-467B-8D2E-46332D8AED9B}" srcOrd="0" destOrd="0" presId="urn:microsoft.com/office/officeart/2011/layout/CircleProcess"/>
    <dgm:cxn modelId="{1D3CD2C5-6E4D-4CF9-83F6-F97E109A92C6}" type="presParOf" srcId="{1F4D3FA7-D519-4E47-A57F-A51F572CFBD1}" destId="{B41E9CE6-12EE-419A-B25E-524B80BE08F2}" srcOrd="1" destOrd="0" presId="urn:microsoft.com/office/officeart/2011/layout/CircleProcess"/>
    <dgm:cxn modelId="{6198659C-B097-4385-AA4B-125597D83FB3}" type="presParOf" srcId="{B41E9CE6-12EE-419A-B25E-524B80BE08F2}" destId="{DBB176F0-23C8-45AF-8C71-0048931FFD1B}" srcOrd="0" destOrd="0" presId="urn:microsoft.com/office/officeart/2011/layout/CircleProcess"/>
    <dgm:cxn modelId="{055EFFF4-E8F3-4041-BB90-866E86D8E8A3}" type="presParOf" srcId="{1F4D3FA7-D519-4E47-A57F-A51F572CFBD1}" destId="{E6481C90-6DC8-4A5E-805A-E667CB903B4A}" srcOrd="2" destOrd="0" presId="urn:microsoft.com/office/officeart/2011/layout/CircleProcess"/>
    <dgm:cxn modelId="{BF85BBBB-D389-4284-8C80-00CBF1D68795}" type="presParOf" srcId="{1F4D3FA7-D519-4E47-A57F-A51F572CFBD1}" destId="{D8A171F4-D9E6-4A57-8EDB-25EE33545780}" srcOrd="3" destOrd="0" presId="urn:microsoft.com/office/officeart/2011/layout/CircleProcess"/>
    <dgm:cxn modelId="{EB8E6C7C-C3F8-430B-B856-A2B1D907E989}" type="presParOf" srcId="{D8A171F4-D9E6-4A57-8EDB-25EE33545780}" destId="{34D895E7-9BB9-4932-96D7-8F926656232B}" srcOrd="0" destOrd="0" presId="urn:microsoft.com/office/officeart/2011/layout/CircleProcess"/>
    <dgm:cxn modelId="{9EAB9257-9A7B-4E7C-8007-81BC9C5E41A8}" type="presParOf" srcId="{1F4D3FA7-D519-4E47-A57F-A51F572CFBD1}" destId="{74386502-FBD9-4C2C-BCE0-6C4562A4EA11}" srcOrd="4" destOrd="0" presId="urn:microsoft.com/office/officeart/2011/layout/CircleProcess"/>
    <dgm:cxn modelId="{3AC9135C-E9FB-4640-8E72-32F7A42C6492}" type="presParOf" srcId="{74386502-FBD9-4C2C-BCE0-6C4562A4EA11}" destId="{112D2440-0A18-42EB-B832-CDDD639E88E8}" srcOrd="0" destOrd="0" presId="urn:microsoft.com/office/officeart/2011/layout/CircleProcess"/>
    <dgm:cxn modelId="{7C0CC811-E6EA-4EB0-9E5A-9F424F8D3D98}" type="presParOf" srcId="{1F4D3FA7-D519-4E47-A57F-A51F572CFBD1}" destId="{B640F8D2-B246-4A9C-8877-39F8C03DC3CF}" srcOrd="5" destOrd="0" presId="urn:microsoft.com/office/officeart/2011/layout/CircleProcess"/>
    <dgm:cxn modelId="{0B2B2AFD-21FD-47A3-8BC5-6E2CBB19676B}" type="presParOf" srcId="{1F4D3FA7-D519-4E47-A57F-A51F572CFBD1}" destId="{595118A7-1DFD-4F4A-8099-B88D2D14992E}" srcOrd="6" destOrd="0" presId="urn:microsoft.com/office/officeart/2011/layout/CircleProcess"/>
    <dgm:cxn modelId="{80A45AF8-3387-4F60-B44D-D803E7534722}" type="presParOf" srcId="{595118A7-1DFD-4F4A-8099-B88D2D14992E}" destId="{12D0AE73-8DD1-4EAF-ABAD-E14229E0E970}" srcOrd="0" destOrd="0" presId="urn:microsoft.com/office/officeart/2011/layout/CircleProcess"/>
    <dgm:cxn modelId="{73962164-3446-4CC8-9371-D9B1D8E6D4F8}" type="presParOf" srcId="{1F4D3FA7-D519-4E47-A57F-A51F572CFBD1}" destId="{FC6EB208-F011-4377-8216-F8AC88D64E6C}" srcOrd="7" destOrd="0" presId="urn:microsoft.com/office/officeart/2011/layout/CircleProcess"/>
    <dgm:cxn modelId="{47B1CF06-32DD-450C-84FA-05015A2898E8}" type="presParOf" srcId="{FC6EB208-F011-4377-8216-F8AC88D64E6C}" destId="{4D740DE6-9F46-486E-9D00-D95E424496C3}" srcOrd="0" destOrd="0" presId="urn:microsoft.com/office/officeart/2011/layout/CircleProcess"/>
    <dgm:cxn modelId="{9F45D510-5ED9-40F5-8DF3-C8D5FB744E95}" type="presParOf" srcId="{1F4D3FA7-D519-4E47-A57F-A51F572CFBD1}" destId="{6D2AE301-EC07-4D1D-9DB4-72DD644DACFA}" srcOrd="8" destOrd="0" presId="urn:microsoft.com/office/officeart/2011/layout/CircleProcess"/>
    <dgm:cxn modelId="{7734C9B0-850C-433B-9338-94886E7583B5}" type="presParOf" srcId="{1F4D3FA7-D519-4E47-A57F-A51F572CFBD1}" destId="{16647AD3-158D-481D-8096-AEF8376B182A}" srcOrd="9" destOrd="0" presId="urn:microsoft.com/office/officeart/2011/layout/CircleProcess"/>
    <dgm:cxn modelId="{31F530DF-3A5B-4D43-8753-5F0C5967BDBE}" type="presParOf" srcId="{16647AD3-158D-481D-8096-AEF8376B182A}" destId="{13D1A08D-5546-4AD6-8039-C37B8ECB4965}" srcOrd="0" destOrd="0" presId="urn:microsoft.com/office/officeart/2011/layout/CircleProcess"/>
    <dgm:cxn modelId="{98F28530-176A-4B0C-9232-4A583F0F6E4B}" type="presParOf" srcId="{1F4D3FA7-D519-4E47-A57F-A51F572CFBD1}" destId="{5690441F-B809-4642-B5FD-B247621322A3}" srcOrd="10" destOrd="0" presId="urn:microsoft.com/office/officeart/2011/layout/CircleProcess"/>
    <dgm:cxn modelId="{AFAD1A4B-DC2F-4D78-8965-5283974BBFDE}" type="presParOf" srcId="{5690441F-B809-4642-B5FD-B247621322A3}" destId="{EC20C866-095A-4417-AD11-A094CCF82169}" srcOrd="0" destOrd="0" presId="urn:microsoft.com/office/officeart/2011/layout/CircleProcess"/>
    <dgm:cxn modelId="{D1932F06-E462-46BB-BD2E-C163DD15A1E8}" type="presParOf" srcId="{1F4D3FA7-D519-4E47-A57F-A51F572CFBD1}" destId="{2D95D4FB-AA66-4280-A701-BF5FE31B1472}" srcOrd="11" destOrd="0" presId="urn:microsoft.com/office/officeart/2011/layout/CircleProcess"/>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8AB14A8-FA49-4972-8984-82DD3C9FBB8D}">
      <dsp:nvSpPr>
        <dsp:cNvPr id="0" name=""/>
        <dsp:cNvSpPr/>
      </dsp:nvSpPr>
      <dsp:spPr>
        <a:xfrm>
          <a:off x="1021584"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1117792" y="505522"/>
        <a:ext cx="0" cy="0"/>
      </dsp:txXfrm>
    </dsp:sp>
    <dsp:sp modelId="{E69B8A1E-6B5B-4EDE-8904-5A7F4D9B6D61}">
      <dsp:nvSpPr>
        <dsp:cNvPr id="0" name=""/>
        <dsp:cNvSpPr/>
      </dsp:nvSpPr>
      <dsp:spPr>
        <a:xfrm>
          <a:off x="2711"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Regional Coordination Platform </a:t>
          </a:r>
          <a:br>
            <a:rPr lang="en-US" sz="700" kern="1200">
              <a:solidFill>
                <a:sysClr val="window" lastClr="FFFFFF"/>
              </a:solidFill>
              <a:latin typeface="Calibri" panose="020F0502020204030204"/>
              <a:ea typeface="+mn-ea"/>
              <a:cs typeface="+mn-cs"/>
            </a:rPr>
          </a:br>
          <a:r>
            <a:rPr lang="en-US" sz="700" kern="1200">
              <a:solidFill>
                <a:sysClr val="window" lastClr="FFFFFF"/>
              </a:solidFill>
              <a:latin typeface="Calibri" panose="020F0502020204030204"/>
              <a:ea typeface="+mn-ea"/>
              <a:cs typeface="+mn-cs"/>
            </a:rPr>
            <a:t>(initially Bank-executed)</a:t>
          </a:r>
        </a:p>
      </dsp:txBody>
      <dsp:txXfrm>
        <a:off x="2711" y="200494"/>
        <a:ext cx="1020672" cy="612403"/>
      </dsp:txXfrm>
    </dsp:sp>
    <dsp:sp modelId="{B87DE93C-1BFF-4171-ABC8-5FA36E2BA961}">
      <dsp:nvSpPr>
        <dsp:cNvPr id="0" name=""/>
        <dsp:cNvSpPr/>
      </dsp:nvSpPr>
      <dsp:spPr>
        <a:xfrm>
          <a:off x="2277011" y="460975"/>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2373219" y="505522"/>
        <a:ext cx="0" cy="0"/>
      </dsp:txXfrm>
    </dsp:sp>
    <dsp:sp modelId="{D8FBD5D9-E4EA-44BE-A719-C631606CFB66}">
      <dsp:nvSpPr>
        <dsp:cNvPr id="0" name=""/>
        <dsp:cNvSpPr/>
      </dsp:nvSpPr>
      <dsp:spPr>
        <a:xfrm>
          <a:off x="1258138"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Program Steering Committee (PSC)</a:t>
          </a:r>
        </a:p>
      </dsp:txBody>
      <dsp:txXfrm>
        <a:off x="1258138" y="200494"/>
        <a:ext cx="1020672" cy="612403"/>
      </dsp:txXfrm>
    </dsp:sp>
    <dsp:sp modelId="{8C364C3C-B742-421F-9ED2-0BBBCA7D9368}">
      <dsp:nvSpPr>
        <dsp:cNvPr id="0" name=""/>
        <dsp:cNvSpPr/>
      </dsp:nvSpPr>
      <dsp:spPr>
        <a:xfrm>
          <a:off x="513047" y="811097"/>
          <a:ext cx="2510854" cy="204154"/>
        </a:xfrm>
        <a:custGeom>
          <a:avLst/>
          <a:gdLst/>
          <a:ahLst/>
          <a:cxnLst/>
          <a:rect l="0" t="0" r="0" b="0"/>
          <a:pathLst>
            <a:path>
              <a:moveTo>
                <a:pt x="2510854" y="0"/>
              </a:moveTo>
              <a:lnTo>
                <a:pt x="2510854" y="119177"/>
              </a:lnTo>
              <a:lnTo>
                <a:pt x="0" y="119177"/>
              </a:lnTo>
              <a:lnTo>
                <a:pt x="0" y="204154"/>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1705429" y="912001"/>
        <a:ext cx="0" cy="0"/>
      </dsp:txXfrm>
    </dsp:sp>
    <dsp:sp modelId="{D07AC2F8-E87A-4F65-B71C-AB11BC31B9D2}">
      <dsp:nvSpPr>
        <dsp:cNvPr id="0" name=""/>
        <dsp:cNvSpPr/>
      </dsp:nvSpPr>
      <dsp:spPr>
        <a:xfrm>
          <a:off x="2513565" y="200494"/>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Focal Government Ministry:</a:t>
          </a:r>
        </a:p>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Ministry of Environment and Forests</a:t>
          </a:r>
        </a:p>
      </dsp:txBody>
      <dsp:txXfrm>
        <a:off x="2513565" y="200494"/>
        <a:ext cx="1020672" cy="612403"/>
      </dsp:txXfrm>
    </dsp:sp>
    <dsp:sp modelId="{92D790AE-23DA-42BB-9633-36B961A8E24D}">
      <dsp:nvSpPr>
        <dsp:cNvPr id="0" name=""/>
        <dsp:cNvSpPr/>
      </dsp:nvSpPr>
      <dsp:spPr>
        <a:xfrm>
          <a:off x="1021584" y="1308134"/>
          <a:ext cx="204154" cy="91440"/>
        </a:xfrm>
        <a:custGeom>
          <a:avLst/>
          <a:gdLst/>
          <a:ahLst/>
          <a:cxnLst/>
          <a:rect l="0" t="0" r="0" b="0"/>
          <a:pathLst>
            <a:path>
              <a:moveTo>
                <a:pt x="0" y="45720"/>
              </a:moveTo>
              <a:lnTo>
                <a:pt x="204154" y="45720"/>
              </a:lnTo>
            </a:path>
          </a:pathLst>
        </a:custGeom>
        <a:noFill/>
        <a:ln w="6350" cap="flat" cmpd="sng" algn="ctr">
          <a:solidFill>
            <a:srgbClr val="4472C4">
              <a:hueOff val="0"/>
              <a:satOff val="0"/>
              <a:lumOff val="0"/>
              <a:alphaOff val="0"/>
            </a:srgbClr>
          </a:solidFill>
          <a:prstDash val="solid"/>
          <a:miter lim="800000"/>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US" sz="500" kern="1200">
            <a:solidFill>
              <a:sysClr val="windowText" lastClr="000000">
                <a:hueOff val="0"/>
                <a:satOff val="0"/>
                <a:lumOff val="0"/>
                <a:alphaOff val="0"/>
              </a:sysClr>
            </a:solidFill>
            <a:latin typeface="Calibri" panose="020F0502020204030204"/>
            <a:ea typeface="+mn-ea"/>
            <a:cs typeface="+mn-cs"/>
          </a:endParaRPr>
        </a:p>
      </dsp:txBody>
      <dsp:txXfrm>
        <a:off x="1117792" y="1352680"/>
        <a:ext cx="0" cy="0"/>
      </dsp:txXfrm>
    </dsp:sp>
    <dsp:sp modelId="{478D5C2D-08EB-4634-BD4D-0ED34B65667D}">
      <dsp:nvSpPr>
        <dsp:cNvPr id="0" name=""/>
        <dsp:cNvSpPr/>
      </dsp:nvSpPr>
      <dsp:spPr>
        <a:xfrm>
          <a:off x="2711"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Implementing Agency:</a:t>
          </a:r>
        </a:p>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National Environmental Management Authority</a:t>
          </a:r>
        </a:p>
      </dsp:txBody>
      <dsp:txXfrm>
        <a:off x="2711" y="1047652"/>
        <a:ext cx="1020672" cy="612403"/>
      </dsp:txXfrm>
    </dsp:sp>
    <dsp:sp modelId="{74AEC501-79AE-43DA-B02B-DFE843F1A137}">
      <dsp:nvSpPr>
        <dsp:cNvPr id="0" name=""/>
        <dsp:cNvSpPr/>
      </dsp:nvSpPr>
      <dsp:spPr>
        <a:xfrm>
          <a:off x="1258138" y="1047652"/>
          <a:ext cx="1020672" cy="612403"/>
        </a:xfrm>
        <a:prstGeom prst="rect">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US" sz="700" kern="1200">
              <a:solidFill>
                <a:sysClr val="window" lastClr="FFFFFF"/>
              </a:solidFill>
              <a:latin typeface="Calibri" panose="020F0502020204030204"/>
              <a:ea typeface="+mn-ea"/>
              <a:cs typeface="+mn-cs"/>
            </a:rPr>
            <a:t>County Governments</a:t>
          </a:r>
        </a:p>
      </dsp:txBody>
      <dsp:txXfrm>
        <a:off x="1258138" y="1047652"/>
        <a:ext cx="1020672" cy="612403"/>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CBF32E3-3BE0-467B-8D2E-46332D8AED9B}">
      <dsp:nvSpPr>
        <dsp:cNvPr id="0" name=""/>
        <dsp:cNvSpPr/>
      </dsp:nvSpPr>
      <dsp:spPr>
        <a:xfrm>
          <a:off x="4590170" y="508238"/>
          <a:ext cx="1332553" cy="1332621"/>
        </a:xfrm>
        <a:prstGeom prst="ellipse">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DBB176F0-23C8-45AF-8C71-0048931FFD1B}">
      <dsp:nvSpPr>
        <dsp:cNvPr id="0" name=""/>
        <dsp:cNvSpPr/>
      </dsp:nvSpPr>
      <dsp:spPr>
        <a:xfrm>
          <a:off x="4634740" y="552667"/>
          <a:ext cx="1243982" cy="1243764"/>
        </a:xfrm>
        <a:prstGeom prst="ellipse">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Payments in KSH for eligible goods, consultancies, grants, operating costs including for county-level pilot activities </a:t>
          </a:r>
        </a:p>
      </dsp:txBody>
      <dsp:txXfrm>
        <a:off x="4812452" y="730381"/>
        <a:ext cx="888559" cy="888336"/>
      </dsp:txXfrm>
    </dsp:sp>
    <dsp:sp modelId="{34D895E7-9BB9-4932-96D7-8F926656232B}">
      <dsp:nvSpPr>
        <dsp:cNvPr id="0" name=""/>
        <dsp:cNvSpPr/>
      </dsp:nvSpPr>
      <dsp:spPr>
        <a:xfrm rot="2700000">
          <a:off x="3207320" y="508145"/>
          <a:ext cx="1332574" cy="1332574"/>
        </a:xfrm>
        <a:prstGeom prst="teardrop">
          <a:avLst>
            <a:gd name="adj" fmla="val 100000"/>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12D2440-0A18-42EB-B832-CDDD639E88E8}">
      <dsp:nvSpPr>
        <dsp:cNvPr id="0" name=""/>
        <dsp:cNvSpPr/>
      </dsp:nvSpPr>
      <dsp:spPr>
        <a:xfrm>
          <a:off x="3257616" y="552667"/>
          <a:ext cx="1243982" cy="1243764"/>
        </a:xfrm>
        <a:prstGeom prst="ellipse">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NEMA Project Account (KSHS) Commercial bank</a:t>
          </a:r>
        </a:p>
      </dsp:txBody>
      <dsp:txXfrm>
        <a:off x="3435328" y="730381"/>
        <a:ext cx="888559" cy="888336"/>
      </dsp:txXfrm>
    </dsp:sp>
    <dsp:sp modelId="{12D0AE73-8DD1-4EAF-ABAD-E14229E0E970}">
      <dsp:nvSpPr>
        <dsp:cNvPr id="0" name=""/>
        <dsp:cNvSpPr/>
      </dsp:nvSpPr>
      <dsp:spPr>
        <a:xfrm rot="2700000">
          <a:off x="1835911" y="508145"/>
          <a:ext cx="1332574" cy="1332574"/>
        </a:xfrm>
        <a:prstGeom prst="teardrop">
          <a:avLst>
            <a:gd name="adj" fmla="val 10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4D740DE6-9F46-486E-9D00-D95E424496C3}">
      <dsp:nvSpPr>
        <dsp:cNvPr id="0" name=""/>
        <dsp:cNvSpPr/>
      </dsp:nvSpPr>
      <dsp:spPr>
        <a:xfrm>
          <a:off x="1880492" y="552667"/>
          <a:ext cx="1243982" cy="1243764"/>
        </a:xfrm>
        <a:prstGeom prst="ellipse">
          <a:avLst/>
        </a:prstGeom>
        <a:solidFill>
          <a:schemeClr val="lt1">
            <a:alpha val="90000"/>
            <a:hueOff val="0"/>
            <a:satOff val="0"/>
            <a:lumOff val="0"/>
            <a:alphaOff val="0"/>
          </a:schemeClr>
        </a:solidFill>
        <a:ln w="12700" cap="flat" cmpd="sng" algn="ctr">
          <a:solidFill>
            <a:schemeClr val="accent4">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Designated Account DA (USD)- MOEF</a:t>
          </a:r>
        </a:p>
      </dsp:txBody>
      <dsp:txXfrm>
        <a:off x="2058204" y="730381"/>
        <a:ext cx="888559" cy="888336"/>
      </dsp:txXfrm>
    </dsp:sp>
    <dsp:sp modelId="{13D1A08D-5546-4AD6-8039-C37B8ECB4965}">
      <dsp:nvSpPr>
        <dsp:cNvPr id="0" name=""/>
        <dsp:cNvSpPr/>
      </dsp:nvSpPr>
      <dsp:spPr>
        <a:xfrm rot="2700000">
          <a:off x="458787" y="508145"/>
          <a:ext cx="1332574" cy="1332574"/>
        </a:xfrm>
        <a:prstGeom prst="teardrop">
          <a:avLst>
            <a:gd name="adj" fmla="val 100000"/>
          </a:avLst>
        </a:prstGeom>
        <a:solidFill>
          <a:schemeClr val="accent5">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EC20C866-095A-4417-AD11-A094CCF82169}">
      <dsp:nvSpPr>
        <dsp:cNvPr id="0" name=""/>
        <dsp:cNvSpPr/>
      </dsp:nvSpPr>
      <dsp:spPr>
        <a:xfrm>
          <a:off x="503368" y="552667"/>
          <a:ext cx="1243982" cy="1243764"/>
        </a:xfrm>
        <a:prstGeom prst="ellipse">
          <a:avLst/>
        </a:prstGeom>
        <a:solidFill>
          <a:schemeClr val="lt1">
            <a:alpha val="90000"/>
            <a:hueOff val="0"/>
            <a:satOff val="0"/>
            <a:lumOff val="0"/>
            <a:alphaOff val="0"/>
          </a:schemeClr>
        </a:solidFill>
        <a:ln w="12700" cap="flat" cmpd="sng" algn="ctr">
          <a:solidFill>
            <a:schemeClr val="accent5">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1430" tIns="11430" rIns="11430" bIns="11430" numCol="1" spcCol="1270" anchor="ctr" anchorCtr="0">
          <a:noAutofit/>
        </a:bodyPr>
        <a:lstStyle/>
        <a:p>
          <a:pPr marL="0" lvl="0" indent="0" algn="ctr" defTabSz="400050">
            <a:lnSpc>
              <a:spcPct val="90000"/>
            </a:lnSpc>
            <a:spcBef>
              <a:spcPct val="0"/>
            </a:spcBef>
            <a:spcAft>
              <a:spcPct val="35000"/>
            </a:spcAft>
            <a:buNone/>
          </a:pPr>
          <a:r>
            <a:rPr lang="en-US" sz="900" kern="1200"/>
            <a:t>IDA (GEF Grant Account) </a:t>
          </a:r>
        </a:p>
      </dsp:txBody>
      <dsp:txXfrm>
        <a:off x="681080" y="730381"/>
        <a:ext cx="888559" cy="888336"/>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1">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bkpt" val="endCnv"/>
          <dgm:param type="contDir" val="sameDir"/>
          <dgm:param type="flowDir" val="row"/>
          <dgm:param type="grDir" val="tL"/>
        </dgm:alg>
      </dgm:if>
      <dgm:else name="Name3">
        <dgm:alg type="snake">
          <dgm:param type="bkpt" val="endCnv"/>
          <dgm:param type="contDir" val="sameDir"/>
          <dgm:param type="flowDir" val="row"/>
          <dgm:param type="grDir" val="tR"/>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begPts" val="midR bCtr"/>
                <dgm:param type="connRout" val="bend"/>
                <dgm:param type="dim" val="1D"/>
                <dgm:param type="endPts" val="midL tCtr"/>
              </dgm:alg>
            </dgm:if>
            <dgm:else name="Name6">
              <dgm:alg type="conn">
                <dgm:param type="begPts" val="midL bCtr"/>
                <dgm:param type="connRout" val="bend"/>
                <dgm:param type="dim" val="1D"/>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11/layout/CircleProcess">
  <dgm:title val="Circle Process"/>
  <dgm:desc val="Use to show sequential steps in a process. Limited to eleven Level 1 shapes with an unlimited number of Level 2 shapes. Works best with small amounts of text. Unused text does not appear, but remains available if you switch layouts."/>
  <dgm:catLst>
    <dgm:cat type="process" pri="8500"/>
    <dgm:cat type="officeonline" pri="85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11"/>
      <dgm:chPref val="11"/>
      <dgm:dir/>
      <dgm:resizeHandles/>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5"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Parent2" refType="w" fact="0.6249"/>
              <dgm:constr type="t" for="ch" forName="Parent2" refType="h" fact="0.2022"/>
              <dgm:constr type="w" for="ch" forName="Parent2" refType="w" fact="0.3001"/>
              <dgm:constr type="h" for="ch" forName="Parent2" refType="h" fact="0.3799"/>
              <dgm:constr type="l" for="ch" forName="Parent1" refType="w" fact="0.1597"/>
              <dgm:constr type="t" for="ch" forName="Parent1" refType="h" fact="0.2022"/>
              <dgm:constr type="w" for="ch" forName="Parent1" refType="w" fact="0.3001"/>
              <dgm:constr type="h" for="ch" forName="Parent1" refType="h" fact="0.3799"/>
              <dgm:constr type="l" for="ch" forName="Accent2" refType="w" fact="0.5498"/>
              <dgm:constr type="t" for="ch" forName="Accent2" refType="h" fact="0.1072"/>
              <dgm:constr type="w" for="ch" forName="Accent2" refType="w" fact="0.4502"/>
              <dgm:constr type="h" for="ch" forName="Accent2" refType="h" fact="0.5699"/>
              <dgm:constr type="l" for="ch" forName="ParentBackground2" refType="w" fact="0.5648"/>
              <dgm:constr type="t" for="ch" forName="ParentBackground2" refType="h" fact="0.1262"/>
              <dgm:constr type="w" for="ch" forName="ParentBackground2" refType="w" fact="0.4201"/>
              <dgm:constr type="h" for="ch" forName="ParentBackground2" refType="h" fact="0.5319"/>
              <dgm:constr type="l" for="ch" forName="Child2" refType="w" fact="0.5648"/>
              <dgm:constr type="t" for="ch" forName="Child2" refType="h" fact="0.6876"/>
              <dgm:constr type="w" for="ch" forName="Child2" refType="w" fact="0.4201"/>
              <dgm:constr type="h" for="ch" forName="Child2" refType="h" fact="0.3124"/>
              <dgm:constr type="l" for="ch" forName="Accent1" refType="w" fact="-0.0086"/>
              <dgm:constr type="t" for="ch" forName="Accent1" refType="h" fact="-0.0109"/>
              <dgm:constr type="w" for="ch" forName="Accent1" refType="w" fact="0.6367"/>
              <dgm:constr type="h" for="ch" forName="Accent1" refType="h" fact="0.806"/>
              <dgm:constr type="l" for="ch" forName="ParentBackground1" refType="w" fact="0.0997"/>
              <dgm:constr type="t" for="ch" forName="ParentBackground1" refType="h" fact="0.1262"/>
              <dgm:constr type="w" for="ch" forName="ParentBackground1" refType="w" fact="0.4201"/>
              <dgm:constr type="h" for="ch" forName="ParentBackground1" refType="h" fact="0.5319"/>
              <dgm:constr type="l" for="ch" forName="Child1" refType="w" fact="0.0997"/>
              <dgm:constr type="t" for="ch" forName="Child1" refType="h" fact="0.6876"/>
              <dgm:constr type="w" for="ch" forName="Child1" refType="w" fact="0.4201"/>
              <dgm:constr type="h" for="ch" forName="Child1" refType="h" fact="0.3124"/>
            </dgm:constrLst>
          </dgm:if>
          <dgm:if name="Name6"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Parent3" refType="w" fact="0.744"/>
              <dgm:constr type="t" for="ch" forName="Parent3" refType="h" fact="0.2022"/>
              <dgm:constr type="w" for="ch" forName="Parent3" refType="w" fact="0.2048"/>
              <dgm:constr type="h" for="ch" forName="Parent3" refType="h" fact="0.3799"/>
              <dgm:constr type="l" for="ch" forName="Parent2" refType="w" fact="0.4265"/>
              <dgm:constr type="t" for="ch" forName="Parent2" refType="h" fact="0.2022"/>
              <dgm:constr type="w" for="ch" forName="Parent2" refType="w" fact="0.2048"/>
              <dgm:constr type="h" for="ch" forName="Parent2" refType="h" fact="0.3799"/>
              <dgm:constr type="l" for="ch" forName="Parent1" refType="w" fact="0.109"/>
              <dgm:constr type="t" for="ch" forName="Parent1" refType="h" fact="0.2022"/>
              <dgm:constr type="w" for="ch" forName="Parent1" refType="w" fact="0.2048"/>
              <dgm:constr type="h" for="ch" forName="Parent1" refType="h" fact="0.3799"/>
              <dgm:constr type="l" for="ch" forName="Accent3" refType="w" fact="0.6928"/>
              <dgm:constr type="t" for="ch" forName="Accent3" refType="h" fact="0.1072"/>
              <dgm:constr type="w" for="ch" forName="Accent3" refType="w" fact="0.3072"/>
              <dgm:constr type="h" for="ch" forName="Accent3" refType="h" fact="0.5699"/>
              <dgm:constr type="l" for="ch" forName="ParentBackground3" refType="w" fact="0.703"/>
              <dgm:constr type="t" for="ch" forName="ParentBackground3" refType="h" fact="0.1262"/>
              <dgm:constr type="w" for="ch" forName="ParentBackground3" refType="w" fact="0.2868"/>
              <dgm:constr type="h" for="ch" forName="ParentBackground3" refType="h" fact="0.5319"/>
              <dgm:constr type="l" for="ch" forName="Child3" refType="w" fact="0.703"/>
              <dgm:constr type="t" for="ch" forName="Child3" refType="h" fact="0.6876"/>
              <dgm:constr type="w" for="ch" forName="Child3" refType="w" fact="0.2868"/>
              <dgm:constr type="h" for="ch" forName="Child3" refType="h" fact="0.3124"/>
              <dgm:constr type="l" for="ch" forName="Accent2" refType="w" fact="0.3122"/>
              <dgm:constr type="t" for="ch" forName="Accent2" refType="h" fact="-0.0109"/>
              <dgm:constr type="w" for="ch" forName="Accent2" refType="w" fact="0.4334"/>
              <dgm:constr type="h" for="ch" forName="Accent2" refType="h" fact="0.806"/>
              <dgm:constr type="l" for="ch" forName="ParentBackground2" refType="w" fact="0.3855"/>
              <dgm:constr type="t" for="ch" forName="ParentBackground2" refType="h" fact="0.1262"/>
              <dgm:constr type="w" for="ch" forName="ParentBackground2" refType="w" fact="0.2868"/>
              <dgm:constr type="h" for="ch" forName="ParentBackground2" refType="h" fact="0.5319"/>
              <dgm:constr type="l" for="ch" forName="Child2" refType="w" fact="0.3855"/>
              <dgm:constr type="t" for="ch" forName="Child2" refType="h" fact="0.6876"/>
              <dgm:constr type="w" for="ch" forName="Child2" refType="w" fact="0.2868"/>
              <dgm:constr type="h" for="ch" forName="Child2" refType="h" fact="0.3124"/>
              <dgm:constr type="l" for="ch" forName="Accent1" refType="w" fact="-0.0053"/>
              <dgm:constr type="t" for="ch" forName="Accent1" refType="h" fact="-0.0109"/>
              <dgm:constr type="w" for="ch" forName="Accent1" refType="w" fact="0.4334"/>
              <dgm:constr type="h" for="ch" forName="Accent1" refType="h" fact="0.806"/>
              <dgm:constr type="l" for="ch" forName="ParentBackground1" refType="w" fact="0.068"/>
              <dgm:constr type="t" for="ch" forName="ParentBackground1" refType="h" fact="0.1262"/>
              <dgm:constr type="w" for="ch" forName="ParentBackground1" refType="w" fact="0.2868"/>
              <dgm:constr type="h" for="ch" forName="ParentBackground1" refType="h" fact="0.5319"/>
              <dgm:constr type="l" for="ch" forName="Child1" refType="w" fact="0.068"/>
              <dgm:constr type="t" for="ch" forName="Child1" refType="h" fact="0.6876"/>
              <dgm:constr type="w" for="ch" forName="Child1" refType="w" fact="0.2868"/>
              <dgm:constr type="h" for="ch" forName="Child1" refType="h" fact="0.3124"/>
            </dgm:constrLst>
          </dgm:if>
          <dgm:if name="Name7"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Parent4" refType="w" fact="0.8057"/>
              <dgm:constr type="t" for="ch" forName="Parent4" refType="h" fact="0.2022"/>
              <dgm:constr type="w" for="ch" forName="Parent4" refType="w" fact="0.1555"/>
              <dgm:constr type="h" for="ch" forName="Parent4" refType="h" fact="0.3799"/>
              <dgm:constr type="l" for="ch" forName="Parent3" refType="w" fact="0.5647"/>
              <dgm:constr type="t" for="ch" forName="Parent3" refType="h" fact="0.2022"/>
              <dgm:constr type="w" for="ch" forName="Parent3" refType="w" fact="0.1555"/>
              <dgm:constr type="h" for="ch" forName="Parent3" refType="h" fact="0.3799"/>
              <dgm:constr type="l" for="ch" forName="Parent2" refType="w" fact="0.3237"/>
              <dgm:constr type="t" for="ch" forName="Parent2" refType="h" fact="0.2022"/>
              <dgm:constr type="w" for="ch" forName="Parent2" refType="w" fact="0.1555"/>
              <dgm:constr type="h" for="ch" forName="Parent2" refType="h" fact="0.3799"/>
              <dgm:constr type="l" for="ch" forName="Parent1" refType="w" fact="0.0827"/>
              <dgm:constr type="t" for="ch" forName="Parent1" refType="h" fact="0.2022"/>
              <dgm:constr type="w" for="ch" forName="Parent1" refType="w" fact="0.1555"/>
              <dgm:constr type="h" for="ch" forName="Parent1" refType="h" fact="0.3799"/>
              <dgm:constr type="l" for="ch" forName="Accent4" refType="w" fact="0.7668"/>
              <dgm:constr type="t" for="ch" forName="Accent4" refType="h" fact="0.1072"/>
              <dgm:constr type="w" for="ch" forName="Accent4" refType="w" fact="0.2332"/>
              <dgm:constr type="h" for="ch" forName="Accent4" refType="h" fact="0.5699"/>
              <dgm:constr type="l" for="ch" forName="ParentBackground4" refType="w" fact="0.7746"/>
              <dgm:constr type="t" for="ch" forName="ParentBackground4" refType="h" fact="0.1262"/>
              <dgm:constr type="w" for="ch" forName="ParentBackground4" refType="w" fact="0.2177"/>
              <dgm:constr type="h" for="ch" forName="ParentBackground4" refType="h" fact="0.5319"/>
              <dgm:constr type="l" for="ch" forName="Child4" refType="w" fact="0.7746"/>
              <dgm:constr type="t" for="ch" forName="Child4" refType="h" fact="0.6876"/>
              <dgm:constr type="w" for="ch" forName="Child4" refType="w" fact="0.2177"/>
              <dgm:constr type="h" for="ch" forName="Child4" refType="h" fact="0.3124"/>
              <dgm:constr type="l" for="ch" forName="Accent3" refType="w" fact="0.4765"/>
              <dgm:constr type="t" for="ch" forName="Accent3" refType="h" fact="-0.0109"/>
              <dgm:constr type="w" for="ch" forName="Accent3" refType="w" fact="0.3298"/>
              <dgm:constr type="h" for="ch" forName="Accent3" refType="h" fact="0.806"/>
              <dgm:constr type="l" for="ch" forName="ParentBackground3" refType="w" fact="0.5336"/>
              <dgm:constr type="t" for="ch" forName="ParentBackground3" refType="h" fact="0.1262"/>
              <dgm:constr type="w" for="ch" forName="ParentBackground3" refType="w" fact="0.2177"/>
              <dgm:constr type="h" for="ch" forName="ParentBackground3" refType="h" fact="0.5319"/>
              <dgm:constr type="l" for="ch" forName="Child3" refType="w" fact="0.5336"/>
              <dgm:constr type="t" for="ch" forName="Child3" refType="h" fact="0.6876"/>
              <dgm:constr type="w" for="ch" forName="Child3" refType="w" fact="0.2177"/>
              <dgm:constr type="h" for="ch" forName="Child3" refType="h" fact="0.3124"/>
              <dgm:constr type="l" for="ch" forName="Accent2" refType="w" fact="0.2365"/>
              <dgm:constr type="t" for="ch" forName="Accent2" refType="h" fact="-0.0109"/>
              <dgm:constr type="w" for="ch" forName="Accent2" refType="w" fact="0.3298"/>
              <dgm:constr type="h" for="ch" forName="Accent2" refType="h" fact="0.806"/>
              <dgm:constr type="l" for="ch" forName="ParentBackground2" refType="w" fact="0.2926"/>
              <dgm:constr type="t" for="ch" forName="ParentBackground2" refType="h" fact="0.1262"/>
              <dgm:constr type="w" for="ch" forName="ParentBackground2" refType="w" fact="0.2177"/>
              <dgm:constr type="h" for="ch" forName="ParentBackground2" refType="h" fact="0.5319"/>
              <dgm:constr type="l" for="ch" forName="Child2" refType="w" fact="0.2926"/>
              <dgm:constr type="t" for="ch" forName="Child2" refType="h" fact="0.6876"/>
              <dgm:constr type="w" for="ch" forName="Child2" refType="w" fact="0.2177"/>
              <dgm:constr type="h" for="ch" forName="Child2" refType="h" fact="0.3124"/>
              <dgm:constr type="l" for="ch" forName="Accent1" refType="w" fact="-0.0045"/>
              <dgm:constr type="t" for="ch" forName="Accent1" refType="h" fact="-0.0109"/>
              <dgm:constr type="w" for="ch" forName="Accent1" refType="w" fact="0.3298"/>
              <dgm:constr type="h" for="ch" forName="Accent1" refType="h" fact="0.806"/>
              <dgm:constr type="l" for="ch" forName="ParentBackground1" refType="w" fact="0.0516"/>
              <dgm:constr type="t" for="ch" forName="ParentBackground1" refType="h" fact="0.1262"/>
              <dgm:constr type="w" for="ch" forName="ParentBackground1" refType="w" fact="0.2177"/>
              <dgm:constr type="h" for="ch" forName="ParentBackground1" refType="h" fact="0.5319"/>
              <dgm:constr type="l" for="ch" forName="Child1" refType="w" fact="0.0516"/>
              <dgm:constr type="t" for="ch" forName="Child1" refType="h" fact="0.6876"/>
              <dgm:constr type="w" for="ch" forName="Child1" refType="w" fact="0.2177"/>
              <dgm:constr type="h" for="ch" forName="Child1" refType="h" fact="0.3124"/>
            </dgm:constrLst>
          </dgm:if>
          <dgm:if name="Name8"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Parent5" refType="w" fact="0.8434"/>
              <dgm:constr type="t" for="ch" forName="Parent5" refType="h" fact="0.2022"/>
              <dgm:constr type="w" for="ch" forName="Parent5" refType="w" fact="0.1253"/>
              <dgm:constr type="h" for="ch" forName="Parent5" refType="h" fact="0.3799"/>
              <dgm:constr type="l" for="ch" forName="Parent4" refType="w" fact="0.6492"/>
              <dgm:constr type="t" for="ch" forName="Parent4" refType="h" fact="0.2022"/>
              <dgm:constr type="w" for="ch" forName="Parent4" refType="w" fact="0.1253"/>
              <dgm:constr type="h" for="ch" forName="Parent4" refType="h" fact="0.3799"/>
              <dgm:constr type="l" for="ch" forName="Parent3" refType="w" fact="0.455"/>
              <dgm:constr type="t" for="ch" forName="Parent3" refType="h" fact="0.2022"/>
              <dgm:constr type="w" for="ch" forName="Parent3" refType="w" fact="0.1253"/>
              <dgm:constr type="h" for="ch" forName="Parent3" refType="h" fact="0.3799"/>
              <dgm:constr type="l" for="ch" forName="Parent2" refType="w" fact="0.2609"/>
              <dgm:constr type="t" for="ch" forName="Parent2" refType="h" fact="0.2022"/>
              <dgm:constr type="w" for="ch" forName="Parent2" refType="w" fact="0.1253"/>
              <dgm:constr type="h" for="ch" forName="Parent2" refType="h" fact="0.3799"/>
              <dgm:constr type="l" for="ch" forName="Parent1" refType="w" fact="0.0667"/>
              <dgm:constr type="t" for="ch" forName="Parent1" refType="h" fact="0.2022"/>
              <dgm:constr type="w" for="ch" forName="Parent1" refType="w" fact="0.1253"/>
              <dgm:constr type="h" for="ch" forName="Parent1" refType="h" fact="0.3799"/>
              <dgm:constr type="l" for="ch" forName="Accent5" refType="w" fact="0.8121"/>
              <dgm:constr type="t" for="ch" forName="Accent5" refType="h" fact="0.1072"/>
              <dgm:constr type="w" for="ch" forName="Accent5" refType="w" fact="0.1879"/>
              <dgm:constr type="h" for="ch" forName="Accent5" refType="h" fact="0.5699"/>
              <dgm:constr type="l" for="ch" forName="ParentBackground5" refType="w" fact="0.8183"/>
              <dgm:constr type="t" for="ch" forName="ParentBackground5" refType="h" fact="0.1262"/>
              <dgm:constr type="w" for="ch" forName="ParentBackground5" refType="w" fact="0.1754"/>
              <dgm:constr type="h" for="ch" forName="ParentBackground5" refType="h" fact="0.5319"/>
              <dgm:constr type="l" for="ch" forName="Child5" refType="w" fact="0.8183"/>
              <dgm:constr type="t" for="ch" forName="Child5" refType="h" fact="0.6876"/>
              <dgm:constr type="w" for="ch" forName="Child5" refType="w" fact="0.1754"/>
              <dgm:constr type="h" for="ch" forName="Child5" refType="h" fact="0.3124"/>
              <dgm:constr type="l" for="ch" forName="Accent4" refType="w" fact="0.5789"/>
              <dgm:constr type="t" for="ch" forName="Accent4" refType="h" fact="-0.0109"/>
              <dgm:constr type="w" for="ch" forName="Accent4" refType="w" fact="0.2657"/>
              <dgm:constr type="h" for="ch" forName="Accent4" refType="h" fact="0.806"/>
              <dgm:constr type="l" for="ch" forName="ParentBackground4" refType="w" fact="0.6242"/>
              <dgm:constr type="t" for="ch" forName="ParentBackground4" refType="h" fact="0.1262"/>
              <dgm:constr type="w" for="ch" forName="ParentBackground4" refType="w" fact="0.1754"/>
              <dgm:constr type="h" for="ch" forName="ParentBackground4" refType="h" fact="0.5319"/>
              <dgm:constr type="l" for="ch" forName="Child4" refType="w" fact="0.6242"/>
              <dgm:constr type="t" for="ch" forName="Child4" refType="h" fact="0.6876"/>
              <dgm:constr type="w" for="ch" forName="Child4" refType="w" fact="0.1754"/>
              <dgm:constr type="h" for="ch" forName="Child4" refType="h" fact="0.3124"/>
              <dgm:constr type="l" for="ch" forName="Accent3" refType="w" fact="0.3848"/>
              <dgm:constr type="t" for="ch" forName="Accent3" refType="h" fact="-0.0109"/>
              <dgm:constr type="w" for="ch" forName="Accent3" refType="w" fact="0.2657"/>
              <dgm:constr type="h" for="ch" forName="Accent3" refType="h" fact="0.806"/>
              <dgm:constr type="l" for="ch" forName="ParentBackground3" refType="w" fact="0.43"/>
              <dgm:constr type="t" for="ch" forName="ParentBackground3" refType="h" fact="0.1262"/>
              <dgm:constr type="w" for="ch" forName="ParentBackground3" refType="w" fact="0.1754"/>
              <dgm:constr type="h" for="ch" forName="ParentBackground3" refType="h" fact="0.5319"/>
              <dgm:constr type="l" for="ch" forName="Child3" refType="w" fact="0.43"/>
              <dgm:constr type="t" for="ch" forName="Child3" refType="h" fact="0.6876"/>
              <dgm:constr type="w" for="ch" forName="Child3" refType="w" fact="0.1754"/>
              <dgm:constr type="h" for="ch" forName="Child3" refType="h" fact="0.3124"/>
              <dgm:constr type="l" for="ch" forName="Accent2" refType="w" fact="0.1906"/>
              <dgm:constr type="t" for="ch" forName="Accent2" refType="h" fact="-0.0109"/>
              <dgm:constr type="w" for="ch" forName="Accent2" refType="w" fact="0.2657"/>
              <dgm:constr type="h" for="ch" forName="Accent2" refType="h" fact="0.806"/>
              <dgm:constr type="l" for="ch" forName="ParentBackground2" refType="w" fact="0.2358"/>
              <dgm:constr type="t" for="ch" forName="ParentBackground2" refType="h" fact="0.1262"/>
              <dgm:constr type="w" for="ch" forName="ParentBackground2" refType="w" fact="0.1754"/>
              <dgm:constr type="h" for="ch" forName="ParentBackground2" refType="h" fact="0.5319"/>
              <dgm:constr type="l" for="ch" forName="Child2" refType="w" fact="0.2358"/>
              <dgm:constr type="t" for="ch" forName="Child2" refType="h" fact="0.6876"/>
              <dgm:constr type="w" for="ch" forName="Child2" refType="w" fact="0.1754"/>
              <dgm:constr type="h" for="ch" forName="Child2" refType="h" fact="0.3124"/>
              <dgm:constr type="l" for="ch" forName="Accent1" refType="w" fact="-0.0036"/>
              <dgm:constr type="t" for="ch" forName="Accent1" refType="h" fact="-0.0109"/>
              <dgm:constr type="w" for="ch" forName="Accent1" refType="w" fact="0.2657"/>
              <dgm:constr type="h" for="ch" forName="Accent1" refType="h" fact="0.806"/>
              <dgm:constr type="l" for="ch" forName="ParentBackground1" refType="w" fact="0.0416"/>
              <dgm:constr type="t" for="ch" forName="ParentBackground1" refType="h" fact="0.1262"/>
              <dgm:constr type="w" for="ch" forName="ParentBackground1" refType="w" fact="0.1754"/>
              <dgm:constr type="h" for="ch" forName="ParentBackground1" refType="h" fact="0.5319"/>
              <dgm:constr type="l" for="ch" forName="Child1" refType="w" fact="0.0416"/>
              <dgm:constr type="t" for="ch" forName="Child1" refType="h" fact="0.6876"/>
              <dgm:constr type="w" for="ch" forName="Child1" refType="w" fact="0.1754"/>
              <dgm:constr type="h" for="ch" forName="Child1" refType="h" fact="0.3124"/>
            </dgm:constrLst>
          </dgm:if>
          <dgm:if name="Name9"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Parent6" refType="w" fact="0.8689"/>
              <dgm:constr type="t" for="ch" forName="Parent6" refType="h" fact="0.2022"/>
              <dgm:constr type="w" for="ch" forName="Parent6" refType="w" fact="0.1049"/>
              <dgm:constr type="h" for="ch" forName="Parent6" refType="h" fact="0.3799"/>
              <dgm:constr type="l" for="ch" forName="Parent5" refType="w" fact="0.7063"/>
              <dgm:constr type="t" for="ch" forName="Parent5" refType="h" fact="0.2022"/>
              <dgm:constr type="w" for="ch" forName="Parent5" refType="w" fact="0.1049"/>
              <dgm:constr type="h" for="ch" forName="Parent5" refType="h" fact="0.3799"/>
              <dgm:constr type="l" for="ch" forName="Parent4" refType="w" fact="0.5437"/>
              <dgm:constr type="t" for="ch" forName="Parent4" refType="h" fact="0.2022"/>
              <dgm:constr type="w" for="ch" forName="Parent4" refType="w" fact="0.1049"/>
              <dgm:constr type="h" for="ch" forName="Parent4" refType="h" fact="0.3799"/>
              <dgm:constr type="l" for="ch" forName="Parent3" refType="w" fact="0.381"/>
              <dgm:constr type="t" for="ch" forName="Parent3" refType="h" fact="0.2022"/>
              <dgm:constr type="w" for="ch" forName="Parent3" refType="w" fact="0.1049"/>
              <dgm:constr type="h" for="ch" forName="Parent3" refType="h" fact="0.3799"/>
              <dgm:constr type="l" for="ch" forName="Parent2" refType="w" fact="0.2184"/>
              <dgm:constr type="t" for="ch" forName="Parent2" refType="h" fact="0.2022"/>
              <dgm:constr type="w" for="ch" forName="Parent2" refType="w" fact="0.1049"/>
              <dgm:constr type="h" for="ch" forName="Parent2" refType="h" fact="0.3799"/>
              <dgm:constr type="l" for="ch" forName="Parent1" refType="w" fact="0.0558"/>
              <dgm:constr type="t" for="ch" forName="Parent1" refType="h" fact="0.2022"/>
              <dgm:constr type="w" for="ch" forName="Parent1" refType="w" fact="0.1049"/>
              <dgm:constr type="h" for="ch" forName="Parent1" refType="h" fact="0.3799"/>
              <dgm:constr type="l" for="ch" forName="Accent6" refType="w" fact="0.8426"/>
              <dgm:constr type="t" for="ch" forName="Accent6" refType="h" fact="0.1072"/>
              <dgm:constr type="w" for="ch" forName="Accent6" refType="w" fact="0.1574"/>
              <dgm:constr type="h" for="ch" forName="Accent6" refType="h" fact="0.5699"/>
              <dgm:constr type="l" for="ch" forName="ParentBackground6" refType="w" fact="0.8479"/>
              <dgm:constr type="t" for="ch" forName="ParentBackground6" refType="h" fact="0.1262"/>
              <dgm:constr type="w" for="ch" forName="ParentBackground6" refType="w" fact="0.1469"/>
              <dgm:constr type="h" for="ch" forName="ParentBackground6" refType="h" fact="0.5319"/>
              <dgm:constr type="l" for="ch" forName="Child6" refType="w" fact="0.8479"/>
              <dgm:constr type="t" for="ch" forName="Child6" refType="h" fact="0.6876"/>
              <dgm:constr type="w" for="ch" forName="Child6" refType="w" fact="0.1469"/>
              <dgm:constr type="h" for="ch" forName="Child6" refType="h" fact="0.3124"/>
              <dgm:constr type="l" for="ch" forName="Accent5" refType="w" fact="0.6474"/>
              <dgm:constr type="t" for="ch" forName="Accent5" refType="h" fact="-0.0109"/>
              <dgm:constr type="w" for="ch" forName="Accent5" refType="w" fact="0.2226"/>
              <dgm:constr type="h" for="ch" forName="Accent5" refType="h" fact="0.806"/>
              <dgm:constr type="l" for="ch" forName="ParentBackground5" refType="w" fact="0.6853"/>
              <dgm:constr type="t" for="ch" forName="ParentBackground5" refType="h" fact="0.1262"/>
              <dgm:constr type="w" for="ch" forName="ParentBackground5" refType="w" fact="0.1469"/>
              <dgm:constr type="h" for="ch" forName="ParentBackground5" refType="h" fact="0.5319"/>
              <dgm:constr type="l" for="ch" forName="Child5" refType="w" fact="0.6853"/>
              <dgm:constr type="t" for="ch" forName="Child5" refType="h" fact="0.6876"/>
              <dgm:constr type="w" for="ch" forName="Child5" refType="w" fact="0.1469"/>
              <dgm:constr type="h" for="ch" forName="Child5" refType="h" fact="0.3124"/>
              <dgm:constr type="l" for="ch" forName="Accent4" refType="w" fact="0.4848"/>
              <dgm:constr type="t" for="ch" forName="Accent4" refType="h" fact="-0.0109"/>
              <dgm:constr type="w" for="ch" forName="Accent4" refType="w" fact="0.2226"/>
              <dgm:constr type="h" for="ch" forName="Accent4" refType="h" fact="0.806"/>
              <dgm:constr type="l" for="ch" forName="ParentBackground4" refType="w" fact="0.5227"/>
              <dgm:constr type="t" for="ch" forName="ParentBackground4" refType="h" fact="0.1262"/>
              <dgm:constr type="w" for="ch" forName="ParentBackground4" refType="w" fact="0.1469"/>
              <dgm:constr type="h" for="ch" forName="ParentBackground4" refType="h" fact="0.5319"/>
              <dgm:constr type="l" for="ch" forName="Child4" refType="w" fact="0.5227"/>
              <dgm:constr type="t" for="ch" forName="Child4" refType="h" fact="0.6876"/>
              <dgm:constr type="w" for="ch" forName="Child4" refType="w" fact="0.1469"/>
              <dgm:constr type="h" for="ch" forName="Child4" refType="h" fact="0.3124"/>
              <dgm:constr type="l" for="ch" forName="Accent3" refType="w" fact="0.3222"/>
              <dgm:constr type="t" for="ch" forName="Accent3" refType="h" fact="-0.0109"/>
              <dgm:constr type="w" for="ch" forName="Accent3" refType="w" fact="0.2226"/>
              <dgm:constr type="h" for="ch" forName="Accent3" refType="h" fact="0.806"/>
              <dgm:constr type="l" for="ch" forName="ParentBackground3" refType="w" fact="0.3601"/>
              <dgm:constr type="t" for="ch" forName="ParentBackground3" refType="h" fact="0.1262"/>
              <dgm:constr type="w" for="ch" forName="ParentBackground3" refType="w" fact="0.1469"/>
              <dgm:constr type="h" for="ch" forName="ParentBackground3" refType="h" fact="0.5319"/>
              <dgm:constr type="l" for="ch" forName="Child3" refType="w" fact="0.3601"/>
              <dgm:constr type="t" for="ch" forName="Child3" refType="h" fact="0.6876"/>
              <dgm:constr type="w" for="ch" forName="Child3" refType="w" fact="0.1469"/>
              <dgm:constr type="h" for="ch" forName="Child3" refType="h" fact="0.3124"/>
              <dgm:constr type="l" for="ch" forName="Accent2" refType="w" fact="0.1596"/>
              <dgm:constr type="t" for="ch" forName="Accent2" refType="h" fact="-0.0109"/>
              <dgm:constr type="w" for="ch" forName="Accent2" refType="w" fact="0.2226"/>
              <dgm:constr type="h" for="ch" forName="Accent2" refType="h" fact="0.806"/>
              <dgm:constr type="l" for="ch" forName="ParentBackground2" refType="w" fact="0.1975"/>
              <dgm:constr type="t" for="ch" forName="ParentBackground2" refType="h" fact="0.1262"/>
              <dgm:constr type="w" for="ch" forName="ParentBackground2" refType="w" fact="0.1469"/>
              <dgm:constr type="h" for="ch" forName="ParentBackground2" refType="h" fact="0.5319"/>
              <dgm:constr type="l" for="ch" forName="Child2" refType="w" fact="0.1975"/>
              <dgm:constr type="t" for="ch" forName="Child2" refType="h" fact="0.6876"/>
              <dgm:constr type="w" for="ch" forName="Child2" refType="w" fact="0.1469"/>
              <dgm:constr type="h" for="ch" forName="Child2" refType="h" fact="0.3124"/>
              <dgm:constr type="l" for="ch" forName="Accent1" refType="w" fact="-0.003"/>
              <dgm:constr type="t" for="ch" forName="Accent1" refType="h" fact="-0.0109"/>
              <dgm:constr type="w" for="ch" forName="Accent1" refType="w" fact="0.2226"/>
              <dgm:constr type="h" for="ch" forName="Accent1" refType="h" fact="0.806"/>
              <dgm:constr type="l" for="ch" forName="ParentBackground1" refType="w" fact="0.0348"/>
              <dgm:constr type="t" for="ch" forName="ParentBackground1" refType="h" fact="0.1262"/>
              <dgm:constr type="w" for="ch" forName="ParentBackground1" refType="w" fact="0.1469"/>
              <dgm:constr type="h" for="ch" forName="ParentBackground1" refType="h" fact="0.5319"/>
              <dgm:constr type="l" for="ch" forName="Child1" refType="w" fact="0.0348"/>
              <dgm:constr type="t" for="ch" forName="Child1" refType="h" fact="0.6876"/>
              <dgm:constr type="w" for="ch" forName="Child1" refType="w" fact="0.1469"/>
              <dgm:constr type="h" for="ch" forName="Child1" refType="h" fact="0.3124"/>
            </dgm:constrLst>
          </dgm:if>
          <dgm:if name="Name10"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Parent7" refType="w" fact="0.8872"/>
              <dgm:constr type="t" for="ch" forName="Parent7" refType="h" fact="0.2022"/>
              <dgm:constr type="w" for="ch" forName="Parent7" refType="w" fact="0.0902"/>
              <dgm:constr type="h" for="ch" forName="Parent7" refType="h" fact="0.3799"/>
              <dgm:constr type="l" for="ch" forName="Parent6" refType="w" fact="0.7473"/>
              <dgm:constr type="t" for="ch" forName="Parent6" refType="h" fact="0.2022"/>
              <dgm:constr type="w" for="ch" forName="Parent6" refType="w" fact="0.0902"/>
              <dgm:constr type="h" for="ch" forName="Parent6" refType="h" fact="0.3799"/>
              <dgm:constr type="l" for="ch" forName="Parent5" refType="w" fact="0.6075"/>
              <dgm:constr type="t" for="ch" forName="Parent5" refType="h" fact="0.2022"/>
              <dgm:constr type="w" for="ch" forName="Parent5" refType="w" fact="0.0902"/>
              <dgm:constr type="h" for="ch" forName="Parent5" refType="h" fact="0.3799"/>
              <dgm:constr type="l" for="ch" forName="Parent4" refType="w" fact="0.4676"/>
              <dgm:constr type="t" for="ch" forName="Parent4" refType="h" fact="0.2022"/>
              <dgm:constr type="w" for="ch" forName="Parent4" refType="w" fact="0.0902"/>
              <dgm:constr type="h" for="ch" forName="Parent4" refType="h" fact="0.3799"/>
              <dgm:constr type="l" for="ch" forName="Parent3" refType="w" fact="0.3277"/>
              <dgm:constr type="t" for="ch" forName="Parent3" refType="h" fact="0.2022"/>
              <dgm:constr type="w" for="ch" forName="Parent3" refType="w" fact="0.0902"/>
              <dgm:constr type="h" for="ch" forName="Parent3" refType="h" fact="0.3799"/>
              <dgm:constr type="l" for="ch" forName="Parent2" refType="w" fact="0.1879"/>
              <dgm:constr type="t" for="ch" forName="Parent2" refType="h" fact="0.2022"/>
              <dgm:constr type="w" for="ch" forName="Parent2" refType="w" fact="0.0902"/>
              <dgm:constr type="h" for="ch" forName="Parent2" refType="h" fact="0.3799"/>
              <dgm:constr type="l" for="ch" forName="Parent1" refType="w" fact="0.048"/>
              <dgm:constr type="t" for="ch" forName="Parent1" refType="h" fact="0.2022"/>
              <dgm:constr type="w" for="ch" forName="Parent1" refType="w" fact="0.0902"/>
              <dgm:constr type="h" for="ch" forName="Parent1" refType="h" fact="0.3799"/>
              <dgm:constr type="l" for="ch" forName="Accent7" refType="w" fact="0.8646"/>
              <dgm:constr type="t" for="ch" forName="Accent7" refType="h" fact="0.1072"/>
              <dgm:constr type="w" for="ch" forName="Accent7" refType="w" fact="0.1354"/>
              <dgm:constr type="h" for="ch" forName="Accent7" refType="h" fact="0.5699"/>
              <dgm:constr type="l" for="ch" forName="ParentBackground7" refType="w" fact="0.8692"/>
              <dgm:constr type="t" for="ch" forName="ParentBackground7" refType="h" fact="0.1262"/>
              <dgm:constr type="w" for="ch" forName="ParentBackground7" refType="w" fact="0.1263"/>
              <dgm:constr type="h" for="ch" forName="ParentBackground7" refType="h" fact="0.5319"/>
              <dgm:constr type="l" for="ch" forName="Child7" refType="w" fact="0.8692"/>
              <dgm:constr type="t" for="ch" forName="Child7" refType="h" fact="0.6876"/>
              <dgm:constr type="w" for="ch" forName="Child7" refType="w" fact="0.1263"/>
              <dgm:constr type="h" for="ch" forName="Child7" refType="h" fact="0.3124"/>
              <dgm:constr type="l" for="ch" forName="Accent6" refType="w" fact="0.6967"/>
              <dgm:constr type="t" for="ch" forName="Accent6" refType="h" fact="-0.0109"/>
              <dgm:constr type="w" for="ch" forName="Accent6" refType="w" fact="0.1915"/>
              <dgm:constr type="h" for="ch" forName="Accent6" refType="h" fact="0.806"/>
              <dgm:constr type="l" for="ch" forName="ParentBackground6" refType="w" fact="0.7293"/>
              <dgm:constr type="t" for="ch" forName="ParentBackground6" refType="h" fact="0.1262"/>
              <dgm:constr type="w" for="ch" forName="ParentBackground6" refType="w" fact="0.1263"/>
              <dgm:constr type="h" for="ch" forName="ParentBackground6" refType="h" fact="0.5319"/>
              <dgm:constr type="l" for="ch" forName="Child6" refType="w" fact="0.7293"/>
              <dgm:constr type="t" for="ch" forName="Child6" refType="h" fact="0.6876"/>
              <dgm:constr type="w" for="ch" forName="Child6" refType="w" fact="0.1263"/>
              <dgm:constr type="h" for="ch" forName="Child6" refType="h" fact="0.3124"/>
              <dgm:constr type="l" for="ch" forName="Accent5" refType="w" fact="0.5569"/>
              <dgm:constr type="t" for="ch" forName="Accent5" refType="h" fact="-0.0109"/>
              <dgm:constr type="w" for="ch" forName="Accent5" refType="w" fact="0.1915"/>
              <dgm:constr type="h" for="ch" forName="Accent5" refType="h" fact="0.806"/>
              <dgm:constr type="l" for="ch" forName="ParentBackground5" refType="w" fact="0.5894"/>
              <dgm:constr type="t" for="ch" forName="ParentBackground5" refType="h" fact="0.1262"/>
              <dgm:constr type="w" for="ch" forName="ParentBackground5" refType="w" fact="0.1263"/>
              <dgm:constr type="h" for="ch" forName="ParentBackground5" refType="h" fact="0.5319"/>
              <dgm:constr type="l" for="ch" forName="Child5" refType="w" fact="0.5894"/>
              <dgm:constr type="t" for="ch" forName="Child5" refType="h" fact="0.6876"/>
              <dgm:constr type="w" for="ch" forName="Child5" refType="w" fact="0.1263"/>
              <dgm:constr type="h" for="ch" forName="Child5" refType="h" fact="0.3124"/>
              <dgm:constr type="l" for="ch" forName="Accent4" refType="w" fact="0.417"/>
              <dgm:constr type="t" for="ch" forName="Accent4" refType="h" fact="-0.0109"/>
              <dgm:constr type="w" for="ch" forName="Accent4" refType="w" fact="0.1915"/>
              <dgm:constr type="h" for="ch" forName="Accent4" refType="h" fact="0.806"/>
              <dgm:constr type="l" for="ch" forName="ParentBackground4" refType="w" fact="0.4496"/>
              <dgm:constr type="t" for="ch" forName="ParentBackground4" refType="h" fact="0.1262"/>
              <dgm:constr type="w" for="ch" forName="ParentBackground4" refType="w" fact="0.1263"/>
              <dgm:constr type="h" for="ch" forName="ParentBackground4" refType="h" fact="0.5319"/>
              <dgm:constr type="l" for="ch" forName="Child4" refType="w" fact="0.4496"/>
              <dgm:constr type="t" for="ch" forName="Child4" refType="h" fact="0.6876"/>
              <dgm:constr type="w" for="ch" forName="Child4" refType="w" fact="0.1263"/>
              <dgm:constr type="h" for="ch" forName="Child4" refType="h" fact="0.3124"/>
              <dgm:constr type="l" for="ch" forName="Accent3" refType="w" fact="0.2771"/>
              <dgm:constr type="t" for="ch" forName="Accent3" refType="h" fact="-0.0109"/>
              <dgm:constr type="w" for="ch" forName="Accent3" refType="w" fact="0.1915"/>
              <dgm:constr type="h" for="ch" forName="Accent3" refType="h" fact="0.806"/>
              <dgm:constr type="l" for="ch" forName="ParentBackground3" refType="w" fact="0.3097"/>
              <dgm:constr type="t" for="ch" forName="ParentBackground3" refType="h" fact="0.1262"/>
              <dgm:constr type="w" for="ch" forName="ParentBackground3" refType="w" fact="0.1263"/>
              <dgm:constr type="h" for="ch" forName="ParentBackground3" refType="h" fact="0.5319"/>
              <dgm:constr type="l" for="ch" forName="Child3" refType="w" fact="0.3097"/>
              <dgm:constr type="t" for="ch" forName="Child3" refType="h" fact="0.6876"/>
              <dgm:constr type="w" for="ch" forName="Child3" refType="w" fact="0.1263"/>
              <dgm:constr type="h" for="ch" forName="Child3" refType="h" fact="0.3124"/>
              <dgm:constr type="l" for="ch" forName="Accent2" refType="w" fact="0.1373"/>
              <dgm:constr type="t" for="ch" forName="Accent2" refType="h" fact="-0.0109"/>
              <dgm:constr type="w" for="ch" forName="Accent2" refType="w" fact="0.1915"/>
              <dgm:constr type="h" for="ch" forName="Accent2" refType="h" fact="0.806"/>
              <dgm:constr type="l" for="ch" forName="ParentBackground2" refType="w" fact="0.1698"/>
              <dgm:constr type="t" for="ch" forName="ParentBackground2" refType="h" fact="0.1262"/>
              <dgm:constr type="w" for="ch" forName="ParentBackground2" refType="w" fact="0.1263"/>
              <dgm:constr type="h" for="ch" forName="ParentBackground2" refType="h" fact="0.5319"/>
              <dgm:constr type="l" for="ch" forName="Child2" refType="w" fact="0.1698"/>
              <dgm:constr type="t" for="ch" forName="Child2" refType="h" fact="0.6876"/>
              <dgm:constr type="w" for="ch" forName="Child2" refType="w" fact="0.1263"/>
              <dgm:constr type="h" for="ch" forName="Child2" refType="h" fact="0.3124"/>
              <dgm:constr type="l" for="ch" forName="Accent1" refType="w" fact="-0.0026"/>
              <dgm:constr type="t" for="ch" forName="Accent1" refType="h" fact="-0.0109"/>
              <dgm:constr type="w" for="ch" forName="Accent1" refType="w" fact="0.1915"/>
              <dgm:constr type="h" for="ch" forName="Accent1" refType="h" fact="0.806"/>
              <dgm:constr type="l" for="ch" forName="ParentBackground1" refType="w" fact="0.03"/>
              <dgm:constr type="t" for="ch" forName="ParentBackground1" refType="h" fact="0.1262"/>
              <dgm:constr type="w" for="ch" forName="ParentBackground1" refType="w" fact="0.1263"/>
              <dgm:constr type="h" for="ch" forName="ParentBackground1" refType="h" fact="0.5319"/>
              <dgm:constr type="l" for="ch" forName="Child1" refType="w" fact="0.03"/>
              <dgm:constr type="t" for="ch" forName="Child1" refType="h" fact="0.6876"/>
              <dgm:constr type="w" for="ch" forName="Child1" refType="w" fact="0.1263"/>
              <dgm:constr type="h" for="ch" forName="Child1" refType="h" fact="0.3124"/>
            </dgm:constrLst>
          </dgm:if>
          <dgm:if name="Name11"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l" for="ch" forName="Parent8" refType="w" fact="0.901"/>
              <dgm:constr type="t" for="ch" forName="Parent8" refType="h" fact="0.2022"/>
              <dgm:constr type="w" for="ch" forName="Parent8" refType="w" fact="0.0792"/>
              <dgm:constr type="h" for="ch" forName="Parent8" refType="h" fact="0.3799"/>
              <dgm:constr type="l" for="ch" forName="Parent7" refType="w" fact="0.7783"/>
              <dgm:constr type="t" for="ch" forName="Parent7" refType="h" fact="0.2022"/>
              <dgm:constr type="w" for="ch" forName="Parent7" refType="w" fact="0.0792"/>
              <dgm:constr type="h" for="ch" forName="Parent7" refType="h" fact="0.3799"/>
              <dgm:constr type="l" for="ch" forName="Parent6" refType="w" fact="0.6556"/>
              <dgm:constr type="t" for="ch" forName="Parent6" refType="h" fact="0.2022"/>
              <dgm:constr type="w" for="ch" forName="Parent6" refType="w" fact="0.0792"/>
              <dgm:constr type="h" for="ch" forName="Parent6" refType="h" fact="0.3799"/>
              <dgm:constr type="l" for="ch" forName="Parent5" refType="w" fact="0.5329"/>
              <dgm:constr type="t" for="ch" forName="Parent5" refType="h" fact="0.2022"/>
              <dgm:constr type="w" for="ch" forName="Parent5" refType="w" fact="0.0792"/>
              <dgm:constr type="h" for="ch" forName="Parent5" refType="h" fact="0.3799"/>
              <dgm:constr type="l" for="ch" forName="Parent4" refType="w" fact="0.4102"/>
              <dgm:constr type="t" for="ch" forName="Parent4" refType="h" fact="0.2022"/>
              <dgm:constr type="w" for="ch" forName="Parent4" refType="w" fact="0.0792"/>
              <dgm:constr type="h" for="ch" forName="Parent4" refType="h" fact="0.3799"/>
              <dgm:constr type="l" for="ch" forName="Parent3" refType="w" fact="0.2875"/>
              <dgm:constr type="t" for="ch" forName="Parent3" refType="h" fact="0.2022"/>
              <dgm:constr type="w" for="ch" forName="Parent3" refType="w" fact="0.0792"/>
              <dgm:constr type="h" for="ch" forName="Parent3" refType="h" fact="0.3799"/>
              <dgm:constr type="l" for="ch" forName="Parent2" refType="w" fact="0.1648"/>
              <dgm:constr type="t" for="ch" forName="Parent2" refType="h" fact="0.2022"/>
              <dgm:constr type="w" for="ch" forName="Parent2" refType="w" fact="0.0792"/>
              <dgm:constr type="h" for="ch" forName="Parent2" refType="h" fact="0.3799"/>
              <dgm:constr type="l" for="ch" forName="Parent1" refType="w" fact="0.0421"/>
              <dgm:constr type="t" for="ch" forName="Parent1" refType="h" fact="0.2022"/>
              <dgm:constr type="w" for="ch" forName="Parent1" refType="w" fact="0.0792"/>
              <dgm:constr type="h" for="ch" forName="Parent1" refType="h" fact="0.3799"/>
              <dgm:constr type="l" for="ch" forName="Accent8" refType="w" fact="0.8813"/>
              <dgm:constr type="t" for="ch" forName="Accent8" refType="h" fact="0.1072"/>
              <dgm:constr type="w" for="ch" forName="Accent8" refType="w" fact="0.1187"/>
              <dgm:constr type="h" for="ch" forName="Accent8" refType="h" fact="0.5699"/>
              <dgm:constr type="l" for="ch" forName="ParentBackground8" refType="w" fact="0.8852"/>
              <dgm:constr type="t" for="ch" forName="ParentBackground8" refType="h" fact="0.1262"/>
              <dgm:constr type="w" for="ch" forName="ParentBackground8" refType="w" fact="0.1108"/>
              <dgm:constr type="h" for="ch" forName="ParentBackground8" refType="h" fact="0.5319"/>
              <dgm:constr type="l" for="ch" forName="Child8" refType="w" fact="0.8852"/>
              <dgm:constr type="t" for="ch" forName="Child8" refType="h" fact="0.6876"/>
              <dgm:constr type="w" for="ch" forName="Child8" refType="w" fact="0.1108"/>
              <dgm:constr type="h" for="ch" forName="Child8" refType="h" fact="0.3124"/>
              <dgm:constr type="l" for="ch" forName="Accent7" refType="w" fact="0.7339"/>
              <dgm:constr type="t" for="ch" forName="Accent7" refType="h" fact="-0.0109"/>
              <dgm:constr type="w" for="ch" forName="Accent7" refType="w" fact="0.1679"/>
              <dgm:constr type="h" for="ch" forName="Accent7" refType="h" fact="0.806"/>
              <dgm:constr type="l" for="ch" forName="ParentBackground7" refType="w" fact="0.7625"/>
              <dgm:constr type="t" for="ch" forName="ParentBackground7" refType="h" fact="0.1262"/>
              <dgm:constr type="w" for="ch" forName="ParentBackground7" refType="w" fact="0.1108"/>
              <dgm:constr type="h" for="ch" forName="ParentBackground7" refType="h" fact="0.5319"/>
              <dgm:constr type="l" for="ch" forName="Child7" refType="w" fact="0.7625"/>
              <dgm:constr type="t" for="ch" forName="Child7" refType="h" fact="0.6876"/>
              <dgm:constr type="w" for="ch" forName="Child7" refType="w" fact="0.1108"/>
              <dgm:constr type="h" for="ch" forName="Child7" refType="h" fact="0.3124"/>
              <dgm:constr type="l" for="ch" forName="Accent6" refType="w" fact="0.6112"/>
              <dgm:constr type="t" for="ch" forName="Accent6" refType="h" fact="-0.0109"/>
              <dgm:constr type="w" for="ch" forName="Accent6" refType="w" fact="0.1679"/>
              <dgm:constr type="h" for="ch" forName="Accent6" refType="h" fact="0.806"/>
              <dgm:constr type="l" for="ch" forName="ParentBackground6" refType="w" fact="0.6398"/>
              <dgm:constr type="t" for="ch" forName="ParentBackground6" refType="h" fact="0.1262"/>
              <dgm:constr type="w" for="ch" forName="ParentBackground6" refType="w" fact="0.1108"/>
              <dgm:constr type="h" for="ch" forName="ParentBackground6" refType="h" fact="0.5319"/>
              <dgm:constr type="l" for="ch" forName="Child6" refType="w" fact="0.6398"/>
              <dgm:constr type="t" for="ch" forName="Child6" refType="h" fact="0.6876"/>
              <dgm:constr type="w" for="ch" forName="Child6" refType="w" fact="0.1108"/>
              <dgm:constr type="h" for="ch" forName="Child6" refType="h" fact="0.3124"/>
              <dgm:constr type="l" for="ch" forName="Accent5" refType="w" fact="0.4885"/>
              <dgm:constr type="t" for="ch" forName="Accent5" refType="h" fact="-0.0109"/>
              <dgm:constr type="w" for="ch" forName="Accent5" refType="w" fact="0.1679"/>
              <dgm:constr type="h" for="ch" forName="Accent5" refType="h" fact="0.806"/>
              <dgm:constr type="l" for="ch" forName="ParentBackground5" refType="w" fact="0.5171"/>
              <dgm:constr type="t" for="ch" forName="ParentBackground5" refType="h" fact="0.1262"/>
              <dgm:constr type="w" for="ch" forName="ParentBackground5" refType="w" fact="0.1108"/>
              <dgm:constr type="h" for="ch" forName="ParentBackground5" refType="h" fact="0.5319"/>
              <dgm:constr type="l" for="ch" forName="Child5" refType="w" fact="0.5171"/>
              <dgm:constr type="t" for="ch" forName="Child5" refType="h" fact="0.6876"/>
              <dgm:constr type="w" for="ch" forName="Child5" refType="w" fact="0.1108"/>
              <dgm:constr type="h" for="ch" forName="Child5" refType="h" fact="0.3124"/>
              <dgm:constr type="l" for="ch" forName="Accent4" refType="w" fact="0.3658"/>
              <dgm:constr type="t" for="ch" forName="Accent4" refType="h" fact="-0.0109"/>
              <dgm:constr type="w" for="ch" forName="Accent4" refType="w" fact="0.1679"/>
              <dgm:constr type="h" for="ch" forName="Accent4" refType="h" fact="0.806"/>
              <dgm:constr type="l" for="ch" forName="ParentBackground4" refType="w" fact="0.3944"/>
              <dgm:constr type="t" for="ch" forName="ParentBackground4" refType="h" fact="0.1262"/>
              <dgm:constr type="w" for="ch" forName="ParentBackground4" refType="w" fact="0.1108"/>
              <dgm:constr type="h" for="ch" forName="ParentBackground4" refType="h" fact="0.5319"/>
              <dgm:constr type="l" for="ch" forName="Child4" refType="w" fact="0.3944"/>
              <dgm:constr type="t" for="ch" forName="Child4" refType="h" fact="0.6876"/>
              <dgm:constr type="w" for="ch" forName="Child4" refType="w" fact="0.1108"/>
              <dgm:constr type="h" for="ch" forName="Child4" refType="h" fact="0.3124"/>
              <dgm:constr type="l" for="ch" forName="Accent3" refType="w" fact="0.2431"/>
              <dgm:constr type="t" for="ch" forName="Accent3" refType="h" fact="-0.0109"/>
              <dgm:constr type="w" for="ch" forName="Accent3" refType="w" fact="0.1679"/>
              <dgm:constr type="h" for="ch" forName="Accent3" refType="h" fact="0.806"/>
              <dgm:constr type="l" for="ch" forName="ParentBackground3" refType="w" fact="0.2717"/>
              <dgm:constr type="t" for="ch" forName="ParentBackground3" refType="h" fact="0.1262"/>
              <dgm:constr type="w" for="ch" forName="ParentBackground3" refType="w" fact="0.1108"/>
              <dgm:constr type="h" for="ch" forName="ParentBackground3" refType="h" fact="0.5319"/>
              <dgm:constr type="l" for="ch" forName="Child3" refType="w" fact="0.2717"/>
              <dgm:constr type="t" for="ch" forName="Child3" refType="h" fact="0.6876"/>
              <dgm:constr type="w" for="ch" forName="Child3" refType="w" fact="0.1108"/>
              <dgm:constr type="h" for="ch" forName="Child3" refType="h" fact="0.3124"/>
              <dgm:constr type="l" for="ch" forName="Accent2" refType="w" fact="0.1204"/>
              <dgm:constr type="t" for="ch" forName="Accent2" refType="h" fact="-0.0109"/>
              <dgm:constr type="w" for="ch" forName="Accent2" refType="w" fact="0.1679"/>
              <dgm:constr type="h" for="ch" forName="Accent2" refType="h" fact="0.806"/>
              <dgm:constr type="l" for="ch" forName="ParentBackground2" refType="w" fact="0.149"/>
              <dgm:constr type="t" for="ch" forName="ParentBackground2" refType="h" fact="0.1262"/>
              <dgm:constr type="w" for="ch" forName="ParentBackground2" refType="w" fact="0.1108"/>
              <dgm:constr type="h" for="ch" forName="ParentBackground2" refType="h" fact="0.5319"/>
              <dgm:constr type="l" for="ch" forName="Child2" refType="w" fact="0.149"/>
              <dgm:constr type="t" for="ch" forName="Child2" refType="h" fact="0.6876"/>
              <dgm:constr type="w" for="ch" forName="Child2" refType="w" fact="0.1108"/>
              <dgm:constr type="h" for="ch" forName="Child2" refType="h" fact="0.3124"/>
              <dgm:constr type="l" for="ch" forName="Accent1" refType="w" fact="-0.0023"/>
              <dgm:constr type="t" for="ch" forName="Accent1" refType="h" fact="-0.0109"/>
              <dgm:constr type="w" for="ch" forName="Accent1" refType="w" fact="0.1679"/>
              <dgm:constr type="h" for="ch" forName="Accent1" refType="h" fact="0.806"/>
              <dgm:constr type="l" for="ch" forName="ParentBackground1" refType="w" fact="0.0263"/>
              <dgm:constr type="t" for="ch" forName="ParentBackground1" refType="h" fact="0.1262"/>
              <dgm:constr type="w" for="ch" forName="ParentBackground1" refType="w" fact="0.1108"/>
              <dgm:constr type="h" for="ch" forName="ParentBackground1" refType="h" fact="0.5319"/>
              <dgm:constr type="l" for="ch" forName="Child1" refType="w" fact="0.0263"/>
              <dgm:constr type="t" for="ch" forName="Child1" refType="h" fact="0.6876"/>
              <dgm:constr type="w" for="ch" forName="Child1" refType="w" fact="0.1108"/>
              <dgm:constr type="h" for="ch" forName="Child1" refType="h" fact="0.3124"/>
            </dgm:constrLst>
          </dgm:if>
          <dgm:if name="Name12"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l" for="ch" forName="Parent9" refType="w" fact="0.9119"/>
              <dgm:constr type="t" for="ch" forName="Parent9" refType="h" fact="0.2022"/>
              <dgm:constr type="w" for="ch" forName="Parent9" refType="w" fact="0.0705"/>
              <dgm:constr type="h" for="ch" forName="Parent9" refType="h" fact="0.3799"/>
              <dgm:constr type="l" for="ch" forName="Parent8" refType="w" fact="0.8026"/>
              <dgm:constr type="t" for="ch" forName="Parent8" refType="h" fact="0.2022"/>
              <dgm:constr type="w" for="ch" forName="Parent8" refType="w" fact="0.0705"/>
              <dgm:constr type="h" for="ch" forName="Parent8" refType="h" fact="0.3799"/>
              <dgm:constr type="l" for="ch" forName="Parent7" refType="w" fact="0.6933"/>
              <dgm:constr type="t" for="ch" forName="Parent7" refType="h" fact="0.2022"/>
              <dgm:constr type="w" for="ch" forName="Parent7" refType="w" fact="0.0705"/>
              <dgm:constr type="h" for="ch" forName="Parent7" refType="h" fact="0.3799"/>
              <dgm:constr type="l" for="ch" forName="Parent6" refType="w" fact="0.584"/>
              <dgm:constr type="t" for="ch" forName="Parent6" refType="h" fact="0.2022"/>
              <dgm:constr type="w" for="ch" forName="Parent6" refType="w" fact="0.0705"/>
              <dgm:constr type="h" for="ch" forName="Parent6" refType="h" fact="0.3799"/>
              <dgm:constr type="l" for="ch" forName="Parent5" refType="w" fact="0.4747"/>
              <dgm:constr type="t" for="ch" forName="Parent5" refType="h" fact="0.2022"/>
              <dgm:constr type="w" for="ch" forName="Parent5" refType="w" fact="0.0705"/>
              <dgm:constr type="h" for="ch" forName="Parent5" refType="h" fact="0.3799"/>
              <dgm:constr type="l" for="ch" forName="Parent4" refType="w" fact="0.3654"/>
              <dgm:constr type="t" for="ch" forName="Parent4" refType="h" fact="0.2022"/>
              <dgm:constr type="w" for="ch" forName="Parent4" refType="w" fact="0.0705"/>
              <dgm:constr type="h" for="ch" forName="Parent4" refType="h" fact="0.3799"/>
              <dgm:constr type="l" for="ch" forName="Parent3" refType="w" fact="0.2561"/>
              <dgm:constr type="t" for="ch" forName="Parent3" refType="h" fact="0.2022"/>
              <dgm:constr type="w" for="ch" forName="Parent3" refType="w" fact="0.0705"/>
              <dgm:constr type="h" for="ch" forName="Parent3" refType="h" fact="0.3799"/>
              <dgm:constr type="l" for="ch" forName="Parent2" refType="w" fact="0.1468"/>
              <dgm:constr type="t" for="ch" forName="Parent2" refType="h" fact="0.2022"/>
              <dgm:constr type="w" for="ch" forName="Parent2" refType="w" fact="0.0705"/>
              <dgm:constr type="h" for="ch" forName="Parent2" refType="h" fact="0.3799"/>
              <dgm:constr type="l" for="ch" forName="Parent1" refType="w" fact="0.0375"/>
              <dgm:constr type="t" for="ch" forName="Parent1" refType="h" fact="0.2022"/>
              <dgm:constr type="w" for="ch" forName="Parent1" refType="w" fact="0.0705"/>
              <dgm:constr type="h" for="ch" forName="Parent1" refType="h" fact="0.3799"/>
              <dgm:constr type="l" for="ch" forName="Accent9" refType="w" fact="0.8942"/>
              <dgm:constr type="t" for="ch" forName="Accent9" refType="h" fact="0.1072"/>
              <dgm:constr type="w" for="ch" forName="Accent9" refType="w" fact="0.1058"/>
              <dgm:constr type="h" for="ch" forName="Accent9" refType="h" fact="0.5699"/>
              <dgm:constr type="l" for="ch" forName="ParentBackground9" refType="w" fact="0.8978"/>
              <dgm:constr type="t" for="ch" forName="ParentBackground9" refType="h" fact="0.1262"/>
              <dgm:constr type="w" for="ch" forName="ParentBackground9" refType="w" fact="0.0987"/>
              <dgm:constr type="h" for="ch" forName="ParentBackground9" refType="h" fact="0.5319"/>
              <dgm:constr type="l" for="ch" forName="Child9" refType="w" fact="0.8978"/>
              <dgm:constr type="t" for="ch" forName="Child9" refType="h" fact="0.6876"/>
              <dgm:constr type="w" for="ch" forName="Child9" refType="w" fact="0.0987"/>
              <dgm:constr type="h" for="ch" forName="Child9" refType="h" fact="0.3124"/>
              <dgm:constr type="l" for="ch" forName="Accent8" refType="w" fact="0.763"/>
              <dgm:constr type="t" for="ch" forName="Accent8" refType="h" fact="-0.0109"/>
              <dgm:constr type="w" for="ch" forName="Accent8" refType="w" fact="0.1496"/>
              <dgm:constr type="h" for="ch" forName="Accent8" refType="h" fact="0.806"/>
              <dgm:constr type="l" for="ch" forName="ParentBackground8" refType="w" fact="0.7885"/>
              <dgm:constr type="t" for="ch" forName="ParentBackground8" refType="h" fact="0.1262"/>
              <dgm:constr type="w" for="ch" forName="ParentBackground8" refType="w" fact="0.0987"/>
              <dgm:constr type="h" for="ch" forName="ParentBackground8" refType="h" fact="0.5319"/>
              <dgm:constr type="l" for="ch" forName="Child8" refType="w" fact="0.7885"/>
              <dgm:constr type="t" for="ch" forName="Child8" refType="h" fact="0.6876"/>
              <dgm:constr type="w" for="ch" forName="Child8" refType="w" fact="0.0987"/>
              <dgm:constr type="h" for="ch" forName="Child8" refType="h" fact="0.3124"/>
              <dgm:constr type="l" for="ch" forName="Accent7" refType="w" fact="0.6538"/>
              <dgm:constr type="t" for="ch" forName="Accent7" refType="h" fact="-0.0109"/>
              <dgm:constr type="w" for="ch" forName="Accent7" refType="w" fact="0.1496"/>
              <dgm:constr type="h" for="ch" forName="Accent7" refType="h" fact="0.806"/>
              <dgm:constr type="l" for="ch" forName="ParentBackground7" refType="w" fact="0.6792"/>
              <dgm:constr type="t" for="ch" forName="ParentBackground7" refType="h" fact="0.1262"/>
              <dgm:constr type="w" for="ch" forName="ParentBackground7" refType="w" fact="0.0987"/>
              <dgm:constr type="h" for="ch" forName="ParentBackground7" refType="h" fact="0.5319"/>
              <dgm:constr type="l" for="ch" forName="Child7" refType="w" fact="0.6792"/>
              <dgm:constr type="t" for="ch" forName="Child7" refType="h" fact="0.6876"/>
              <dgm:constr type="w" for="ch" forName="Child7" refType="w" fact="0.0987"/>
              <dgm:constr type="h" for="ch" forName="Child7" refType="h" fact="0.3124"/>
              <dgm:constr type="l" for="ch" forName="Accent6" refType="w" fact="0.5445"/>
              <dgm:constr type="t" for="ch" forName="Accent6" refType="h" fact="-0.0109"/>
              <dgm:constr type="w" for="ch" forName="Accent6" refType="w" fact="0.1496"/>
              <dgm:constr type="h" for="ch" forName="Accent6" refType="h" fact="0.806"/>
              <dgm:constr type="l" for="ch" forName="ParentBackground6" refType="w" fact="0.5699"/>
              <dgm:constr type="t" for="ch" forName="ParentBackground6" refType="h" fact="0.1262"/>
              <dgm:constr type="w" for="ch" forName="ParentBackground6" refType="w" fact="0.0987"/>
              <dgm:constr type="h" for="ch" forName="ParentBackground6" refType="h" fact="0.5319"/>
              <dgm:constr type="l" for="ch" forName="Child6" refType="w" fact="0.5699"/>
              <dgm:constr type="t" for="ch" forName="Child6" refType="h" fact="0.6876"/>
              <dgm:constr type="w" for="ch" forName="Child6" refType="w" fact="0.0987"/>
              <dgm:constr type="h" for="ch" forName="Child6" refType="h" fact="0.3124"/>
              <dgm:constr type="l" for="ch" forName="Accent5" refType="w" fact="0.4352"/>
              <dgm:constr type="t" for="ch" forName="Accent5" refType="h" fact="-0.0109"/>
              <dgm:constr type="w" for="ch" forName="Accent5" refType="w" fact="0.1496"/>
              <dgm:constr type="h" for="ch" forName="Accent5" refType="h" fact="0.806"/>
              <dgm:constr type="l" for="ch" forName="ParentBackground5" refType="w" fact="0.4606"/>
              <dgm:constr type="t" for="ch" forName="ParentBackground5" refType="h" fact="0.1262"/>
              <dgm:constr type="w" for="ch" forName="ParentBackground5" refType="w" fact="0.0987"/>
              <dgm:constr type="h" for="ch" forName="ParentBackground5" refType="h" fact="0.5319"/>
              <dgm:constr type="l" for="ch" forName="Child5" refType="w" fact="0.4606"/>
              <dgm:constr type="t" for="ch" forName="Child5" refType="h" fact="0.6876"/>
              <dgm:constr type="w" for="ch" forName="Child5" refType="w" fact="0.0987"/>
              <dgm:constr type="h" for="ch" forName="Child5" refType="h" fact="0.3124"/>
              <dgm:constr type="l" for="ch" forName="Accent4" refType="w" fact="0.3259"/>
              <dgm:constr type="t" for="ch" forName="Accent4" refType="h" fact="-0.0109"/>
              <dgm:constr type="w" for="ch" forName="Accent4" refType="w" fact="0.1496"/>
              <dgm:constr type="h" for="ch" forName="Accent4" refType="h" fact="0.806"/>
              <dgm:constr type="l" for="ch" forName="ParentBackground4" refType="w" fact="0.3513"/>
              <dgm:constr type="t" for="ch" forName="ParentBackground4" refType="h" fact="0.1262"/>
              <dgm:constr type="w" for="ch" forName="ParentBackground4" refType="w" fact="0.0987"/>
              <dgm:constr type="h" for="ch" forName="ParentBackground4" refType="h" fact="0.5319"/>
              <dgm:constr type="l" for="ch" forName="Child4" refType="w" fact="0.3513"/>
              <dgm:constr type="t" for="ch" forName="Child4" refType="h" fact="0.6876"/>
              <dgm:constr type="w" for="ch" forName="Child4" refType="w" fact="0.0987"/>
              <dgm:constr type="h" for="ch" forName="Child4" refType="h" fact="0.3124"/>
              <dgm:constr type="l" for="ch" forName="Accent3" refType="w" fact="0.2166"/>
              <dgm:constr type="t" for="ch" forName="Accent3" refType="h" fact="-0.0109"/>
              <dgm:constr type="w" for="ch" forName="Accent3" refType="w" fact="0.1496"/>
              <dgm:constr type="h" for="ch" forName="Accent3" refType="h" fact="0.806"/>
              <dgm:constr type="l" for="ch" forName="ParentBackground3" refType="w" fact="0.242"/>
              <dgm:constr type="t" for="ch" forName="ParentBackground3" refType="h" fact="0.1262"/>
              <dgm:constr type="w" for="ch" forName="ParentBackground3" refType="w" fact="0.0987"/>
              <dgm:constr type="h" for="ch" forName="ParentBackground3" refType="h" fact="0.5319"/>
              <dgm:constr type="l" for="ch" forName="Child3" refType="w" fact="0.242"/>
              <dgm:constr type="t" for="ch" forName="Child3" refType="h" fact="0.6876"/>
              <dgm:constr type="w" for="ch" forName="Child3" refType="w" fact="0.0987"/>
              <dgm:constr type="h" for="ch" forName="Child3" refType="h" fact="0.3124"/>
              <dgm:constr type="l" for="ch" forName="Accent2" refType="w" fact="0.1073"/>
              <dgm:constr type="t" for="ch" forName="Accent2" refType="h" fact="-0.0109"/>
              <dgm:constr type="w" for="ch" forName="Accent2" refType="w" fact="0.1496"/>
              <dgm:constr type="h" for="ch" forName="Accent2" refType="h" fact="0.806"/>
              <dgm:constr type="l" for="ch" forName="ParentBackground2" refType="w" fact="0.1327"/>
              <dgm:constr type="t" for="ch" forName="ParentBackground2" refType="h" fact="0.1262"/>
              <dgm:constr type="w" for="ch" forName="ParentBackground2" refType="w" fact="0.0987"/>
              <dgm:constr type="h" for="ch" forName="ParentBackground2" refType="h" fact="0.5319"/>
              <dgm:constr type="l" for="ch" forName="Child2" refType="w" fact="0.1327"/>
              <dgm:constr type="t" for="ch" forName="Child2" refType="h" fact="0.6876"/>
              <dgm:constr type="w" for="ch" forName="Child2" refType="w" fact="0.0987"/>
              <dgm:constr type="h" for="ch" forName="Child2" refType="h" fact="0.3124"/>
              <dgm:constr type="l" for="ch" forName="Accent1" refType="w" fact="-0.002"/>
              <dgm:constr type="t" for="ch" forName="Accent1" refType="h" fact="-0.0109"/>
              <dgm:constr type="w" for="ch" forName="Accent1" refType="w" fact="0.1496"/>
              <dgm:constr type="h" for="ch" forName="Accent1" refType="h" fact="0.806"/>
              <dgm:constr type="l" for="ch" forName="ParentBackground1" refType="w" fact="0.0234"/>
              <dgm:constr type="t" for="ch" forName="ParentBackground1" refType="h" fact="0.1262"/>
              <dgm:constr type="w" for="ch" forName="ParentBackground1" refType="w" fact="0.0987"/>
              <dgm:constr type="h" for="ch" forName="ParentBackground1" refType="h" fact="0.5319"/>
              <dgm:constr type="l" for="ch" forName="Child1" refType="w" fact="0.0234"/>
              <dgm:constr type="t" for="ch" forName="Child1" refType="h" fact="0.6876"/>
              <dgm:constr type="w" for="ch" forName="Child1" refType="w" fact="0.0987"/>
              <dgm:constr type="h" for="ch" forName="Child1" refType="h" fact="0.3124"/>
            </dgm:constrLst>
          </dgm:if>
          <dgm:if name="Name13"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l" for="ch" forName="Parent10" refType="w" fact="0.9205"/>
              <dgm:constr type="t" for="ch" forName="Parent10" refType="h" fact="0.2022"/>
              <dgm:constr type="w" for="ch" forName="Parent10" refType="w" fact="0.0636"/>
              <dgm:constr type="h" for="ch" forName="Parent10" refType="h" fact="0.3799"/>
              <dgm:constr type="l" for="ch" forName="Parent9" refType="w" fact="0.822"/>
              <dgm:constr type="t" for="ch" forName="Parent9" refType="h" fact="0.2022"/>
              <dgm:constr type="w" for="ch" forName="Parent9" refType="w" fact="0.0636"/>
              <dgm:constr type="h" for="ch" forName="Parent9" refType="h" fact="0.3799"/>
              <dgm:constr type="l" for="ch" forName="Parent8" refType="w" fact="0.7235"/>
              <dgm:constr type="t" for="ch" forName="Parent8" refType="h" fact="0.2022"/>
              <dgm:constr type="w" for="ch" forName="Parent8" refType="w" fact="0.0636"/>
              <dgm:constr type="h" for="ch" forName="Parent8" refType="h" fact="0.3799"/>
              <dgm:constr type="l" for="ch" forName="Parent7" refType="w" fact="0.625"/>
              <dgm:constr type="t" for="ch" forName="Parent7" refType="h" fact="0.2022"/>
              <dgm:constr type="w" for="ch" forName="Parent7" refType="w" fact="0.0636"/>
              <dgm:constr type="h" for="ch" forName="Parent7" refType="h" fact="0.3799"/>
              <dgm:constr type="l" for="ch" forName="Parent6" refType="w" fact="0.5264"/>
              <dgm:constr type="t" for="ch" forName="Parent6" refType="h" fact="0.2022"/>
              <dgm:constr type="w" for="ch" forName="Parent6" refType="w" fact="0.0636"/>
              <dgm:constr type="h" for="ch" forName="Parent6" refType="h" fact="0.3799"/>
              <dgm:constr type="l" for="ch" forName="Parent5" refType="w" fact="0.4279"/>
              <dgm:constr type="t" for="ch" forName="Parent5" refType="h" fact="0.2022"/>
              <dgm:constr type="w" for="ch" forName="Parent5" refType="w" fact="0.0636"/>
              <dgm:constr type="h" for="ch" forName="Parent5" refType="h" fact="0.3799"/>
              <dgm:constr type="l" for="ch" forName="Parent4" refType="w" fact="0.3294"/>
              <dgm:constr type="t" for="ch" forName="Parent4" refType="h" fact="0.2022"/>
              <dgm:constr type="w" for="ch" forName="Parent4" refType="w" fact="0.0636"/>
              <dgm:constr type="h" for="ch" forName="Parent4" refType="h" fact="0.3799"/>
              <dgm:constr type="l" for="ch" forName="Parent3" refType="w" fact="0.2309"/>
              <dgm:constr type="t" for="ch" forName="Parent3" refType="h" fact="0.2022"/>
              <dgm:constr type="w" for="ch" forName="Parent3" refType="w" fact="0.0636"/>
              <dgm:constr type="h" for="ch" forName="Parent3" refType="h" fact="0.3799"/>
              <dgm:constr type="l" for="ch" forName="Parent2" refType="w" fact="0.1324"/>
              <dgm:constr type="t" for="ch" forName="Parent2" refType="h" fact="0.2022"/>
              <dgm:constr type="w" for="ch" forName="Parent2" refType="w" fact="0.0636"/>
              <dgm:constr type="h" for="ch" forName="Parent2" refType="h" fact="0.3799"/>
              <dgm:constr type="l" for="ch" forName="Parent1" refType="w" fact="0.0338"/>
              <dgm:constr type="t" for="ch" forName="Parent1" refType="h" fact="0.2022"/>
              <dgm:constr type="w" for="ch" forName="Parent1" refType="w" fact="0.0636"/>
              <dgm:constr type="h" for="ch" forName="Parent1" refType="h" fact="0.3799"/>
              <dgm:constr type="l" for="ch" forName="Accent10" refType="w" fact="0.9047"/>
              <dgm:constr type="t" for="ch" forName="Accent10" refType="h" fact="0.1072"/>
              <dgm:constr type="w" for="ch" forName="Accent10" refType="w" fact="0.0953"/>
              <dgm:constr type="h" for="ch" forName="Accent10" refType="h" fact="0.5699"/>
              <dgm:constr type="l" for="ch" forName="ParentBackground10" refType="w" fact="0.9078"/>
              <dgm:constr type="t" for="ch" forName="ParentBackground10" refType="h" fact="0.1262"/>
              <dgm:constr type="w" for="ch" forName="ParentBackground10" refType="w" fact="0.089"/>
              <dgm:constr type="h" for="ch" forName="ParentBackground10" refType="h" fact="0.5319"/>
              <dgm:constr type="l" for="ch" forName="Child10" refType="w" fact="0.9078"/>
              <dgm:constr type="t" for="ch" forName="Child10" refType="h" fact="0.6876"/>
              <dgm:constr type="w" for="ch" forName="Child10" refType="w" fact="0.089"/>
              <dgm:constr type="h" for="ch" forName="Child10" refType="h" fact="0.3124"/>
              <dgm:constr type="l" for="ch" forName="Accent9" refType="w" fact="0.7864"/>
              <dgm:constr type="t" for="ch" forName="Accent9" refType="h" fact="-0.0109"/>
              <dgm:constr type="w" for="ch" forName="Accent9" refType="w" fact="0.1348"/>
              <dgm:constr type="h" for="ch" forName="Accent9" refType="h" fact="0.806"/>
              <dgm:constr type="l" for="ch" forName="ParentBackground9" refType="w" fact="0.8093"/>
              <dgm:constr type="t" for="ch" forName="ParentBackground9" refType="h" fact="0.1262"/>
              <dgm:constr type="w" for="ch" forName="ParentBackground9" refType="w" fact="0.089"/>
              <dgm:constr type="h" for="ch" forName="ParentBackground9" refType="h" fact="0.5319"/>
              <dgm:constr type="l" for="ch" forName="Child9" refType="w" fact="0.8093"/>
              <dgm:constr type="t" for="ch" forName="Child9" refType="h" fact="0.6876"/>
              <dgm:constr type="w" for="ch" forName="Child9" refType="w" fact="0.089"/>
              <dgm:constr type="h" for="ch" forName="Child9" refType="h" fact="0.3124"/>
              <dgm:constr type="l" for="ch" forName="Accent8" refType="w" fact="0.6879"/>
              <dgm:constr type="t" for="ch" forName="Accent8" refType="h" fact="-0.0109"/>
              <dgm:constr type="w" for="ch" forName="Accent8" refType="w" fact="0.1348"/>
              <dgm:constr type="h" for="ch" forName="Accent8" refType="h" fact="0.806"/>
              <dgm:constr type="l" for="ch" forName="ParentBackground8" refType="w" fact="0.7108"/>
              <dgm:constr type="t" for="ch" forName="ParentBackground8" refType="h" fact="0.1262"/>
              <dgm:constr type="w" for="ch" forName="ParentBackground8" refType="w" fact="0.089"/>
              <dgm:constr type="h" for="ch" forName="ParentBackground8" refType="h" fact="0.5319"/>
              <dgm:constr type="l" for="ch" forName="Child8" refType="w" fact="0.7108"/>
              <dgm:constr type="t" for="ch" forName="Child8" refType="h" fact="0.6876"/>
              <dgm:constr type="w" for="ch" forName="Child8" refType="w" fact="0.089"/>
              <dgm:constr type="h" for="ch" forName="Child8" refType="h" fact="0.3124"/>
              <dgm:constr type="l" for="ch" forName="Accent7" refType="w" fact="0.5893"/>
              <dgm:constr type="t" for="ch" forName="Accent7" refType="h" fact="-0.0109"/>
              <dgm:constr type="w" for="ch" forName="Accent7" refType="w" fact="0.1348"/>
              <dgm:constr type="h" for="ch" forName="Accent7" refType="h" fact="0.806"/>
              <dgm:constr type="l" for="ch" forName="ParentBackground7" refType="w" fact="0.6123"/>
              <dgm:constr type="t" for="ch" forName="ParentBackground7" refType="h" fact="0.1262"/>
              <dgm:constr type="w" for="ch" forName="ParentBackground7" refType="w" fact="0.089"/>
              <dgm:constr type="h" for="ch" forName="ParentBackground7" refType="h" fact="0.5319"/>
              <dgm:constr type="l" for="ch" forName="Child7" refType="w" fact="0.6123"/>
              <dgm:constr type="t" for="ch" forName="Child7" refType="h" fact="0.6876"/>
              <dgm:constr type="w" for="ch" forName="Child7" refType="w" fact="0.089"/>
              <dgm:constr type="h" for="ch" forName="Child7" refType="h" fact="0.3124"/>
              <dgm:constr type="l" for="ch" forName="Accent6" refType="w" fact="0.4908"/>
              <dgm:constr type="t" for="ch" forName="Accent6" refType="h" fact="-0.0109"/>
              <dgm:constr type="w" for="ch" forName="Accent6" refType="w" fact="0.1348"/>
              <dgm:constr type="h" for="ch" forName="Accent6" refType="h" fact="0.806"/>
              <dgm:constr type="l" for="ch" forName="ParentBackground6" refType="w" fact="0.5137"/>
              <dgm:constr type="t" for="ch" forName="ParentBackground6" refType="h" fact="0.1262"/>
              <dgm:constr type="w" for="ch" forName="ParentBackground6" refType="w" fact="0.089"/>
              <dgm:constr type="h" for="ch" forName="ParentBackground6" refType="h" fact="0.5319"/>
              <dgm:constr type="l" for="ch" forName="Child6" refType="w" fact="0.5137"/>
              <dgm:constr type="t" for="ch" forName="Child6" refType="h" fact="0.6876"/>
              <dgm:constr type="w" for="ch" forName="Child6" refType="w" fact="0.089"/>
              <dgm:constr type="h" for="ch" forName="Child6" refType="h" fact="0.3124"/>
              <dgm:constr type="l" for="ch" forName="Accent5" refType="w" fact="0.3923"/>
              <dgm:constr type="t" for="ch" forName="Accent5" refType="h" fact="-0.0109"/>
              <dgm:constr type="w" for="ch" forName="Accent5" refType="w" fact="0.1348"/>
              <dgm:constr type="h" for="ch" forName="Accent5" refType="h" fact="0.806"/>
              <dgm:constr type="l" for="ch" forName="ParentBackground5" refType="w" fact="0.4152"/>
              <dgm:constr type="t" for="ch" forName="ParentBackground5" refType="h" fact="0.1262"/>
              <dgm:constr type="w" for="ch" forName="ParentBackground5" refType="w" fact="0.089"/>
              <dgm:constr type="h" for="ch" forName="ParentBackground5" refType="h" fact="0.5319"/>
              <dgm:constr type="l" for="ch" forName="Child5" refType="w" fact="0.4152"/>
              <dgm:constr type="t" for="ch" forName="Child5" refType="h" fact="0.6876"/>
              <dgm:constr type="w" for="ch" forName="Child5" refType="w" fact="0.089"/>
              <dgm:constr type="h" for="ch" forName="Child5" refType="h" fact="0.3124"/>
              <dgm:constr type="l" for="ch" forName="Accent4" refType="w" fact="0.2938"/>
              <dgm:constr type="t" for="ch" forName="Accent4" refType="h" fact="-0.0109"/>
              <dgm:constr type="w" for="ch" forName="Accent4" refType="w" fact="0.1348"/>
              <dgm:constr type="h" for="ch" forName="Accent4" refType="h" fact="0.806"/>
              <dgm:constr type="l" for="ch" forName="ParentBackground4" refType="w" fact="0.3167"/>
              <dgm:constr type="t" for="ch" forName="ParentBackground4" refType="h" fact="0.1262"/>
              <dgm:constr type="w" for="ch" forName="ParentBackground4" refType="w" fact="0.089"/>
              <dgm:constr type="h" for="ch" forName="ParentBackground4" refType="h" fact="0.5319"/>
              <dgm:constr type="l" for="ch" forName="Child4" refType="w" fact="0.3167"/>
              <dgm:constr type="t" for="ch" forName="Child4" refType="h" fact="0.6876"/>
              <dgm:constr type="w" for="ch" forName="Child4" refType="w" fact="0.089"/>
              <dgm:constr type="h" for="ch" forName="Child4" refType="h" fact="0.3124"/>
              <dgm:constr type="l" for="ch" forName="Accent3" refType="w" fact="0.1952"/>
              <dgm:constr type="t" for="ch" forName="Accent3" refType="h" fact="-0.0109"/>
              <dgm:constr type="w" for="ch" forName="Accent3" refType="w" fact="0.1348"/>
              <dgm:constr type="h" for="ch" forName="Accent3" refType="h" fact="0.806"/>
              <dgm:constr type="l" for="ch" forName="ParentBackground3" refType="w" fact="0.2182"/>
              <dgm:constr type="t" for="ch" forName="ParentBackground3" refType="h" fact="0.1262"/>
              <dgm:constr type="w" for="ch" forName="ParentBackground3" refType="w" fact="0.089"/>
              <dgm:constr type="h" for="ch" forName="ParentBackground3" refType="h" fact="0.5319"/>
              <dgm:constr type="l" for="ch" forName="Child3" refType="w" fact="0.2182"/>
              <dgm:constr type="t" for="ch" forName="Child3" refType="h" fact="0.6876"/>
              <dgm:constr type="w" for="ch" forName="Child3" refType="w" fact="0.089"/>
              <dgm:constr type="h" for="ch" forName="Child3" refType="h" fact="0.3124"/>
              <dgm:constr type="l" for="ch" forName="Accent2" refType="w" fact="0.0967"/>
              <dgm:constr type="t" for="ch" forName="Accent2" refType="h" fact="-0.0109"/>
              <dgm:constr type="w" for="ch" forName="Accent2" refType="w" fact="0.1348"/>
              <dgm:constr type="h" for="ch" forName="Accent2" refType="h" fact="0.806"/>
              <dgm:constr type="l" for="ch" forName="ParentBackground2" refType="w" fact="0.1196"/>
              <dgm:constr type="t" for="ch" forName="ParentBackground2" refType="h" fact="0.1262"/>
              <dgm:constr type="w" for="ch" forName="ParentBackground2" refType="w" fact="0.089"/>
              <dgm:constr type="h" for="ch" forName="ParentBackground2" refType="h" fact="0.5319"/>
              <dgm:constr type="l" for="ch" forName="Child2" refType="w" fact="0.1196"/>
              <dgm:constr type="t" for="ch" forName="Child2" refType="h" fact="0.6876"/>
              <dgm:constr type="w" for="ch" forName="Child2" refType="w" fact="0.089"/>
              <dgm:constr type="h" for="ch" forName="Child2" refType="h" fact="0.3124"/>
              <dgm:constr type="l" for="ch" forName="Accent1" refType="w" fact="-0.0018"/>
              <dgm:constr type="t" for="ch" forName="Accent1" refType="h" fact="-0.0109"/>
              <dgm:constr type="w" for="ch" forName="Accent1" refType="w" fact="0.1348"/>
              <dgm:constr type="h" for="ch" forName="Accent1" refType="h" fact="0.806"/>
              <dgm:constr type="l" for="ch" forName="ParentBackground1" refType="w" fact="0.0211"/>
              <dgm:constr type="t" for="ch" forName="ParentBackground1" refType="h" fact="0.1262"/>
              <dgm:constr type="w" for="ch" forName="ParentBackground1" refType="w" fact="0.089"/>
              <dgm:constr type="h" for="ch" forName="ParentBackground1" refType="h" fact="0.5319"/>
              <dgm:constr type="l" for="ch" forName="Child1" refType="w" fact="0.0211"/>
              <dgm:constr type="t" for="ch" forName="Child1" refType="h" fact="0.6876"/>
              <dgm:constr type="w" for="ch" forName="Child1" refType="w" fact="0.089"/>
              <dgm:constr type="h" for="ch" forName="Child1" refType="h" fact="0.3124"/>
            </dgm:constrLst>
          </dgm:if>
          <dgm:else name="Name14">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l" for="ch" forName="Parent11" refType="w" fact="0.9277"/>
              <dgm:constr type="t" for="ch" forName="Parent11" refType="h" fact="0.2022"/>
              <dgm:constr type="w" for="ch" forName="Parent11" refType="w" fact="0.0579"/>
              <dgm:constr type="h" for="ch" forName="Parent11" refType="h" fact="0.3799"/>
              <dgm:constr type="l" for="ch" forName="Parent10" refType="w" fact="0.838"/>
              <dgm:constr type="t" for="ch" forName="Parent10" refType="h" fact="0.2022"/>
              <dgm:constr type="w" for="ch" forName="Parent10" refType="w" fact="0.0579"/>
              <dgm:constr type="h" for="ch" forName="Parent10" refType="h" fact="0.3799"/>
              <dgm:constr type="l" for="ch" forName="Parent9" refType="w" fact="0.7483"/>
              <dgm:constr type="t" for="ch" forName="Parent9" refType="h" fact="0.2022"/>
              <dgm:constr type="w" for="ch" forName="Parent9" refType="w" fact="0.0579"/>
              <dgm:constr type="h" for="ch" forName="Parent9" refType="h" fact="0.3799"/>
              <dgm:constr type="l" for="ch" forName="Parent8" refType="w" fact="0.6586"/>
              <dgm:constr type="t" for="ch" forName="Parent8" refType="h" fact="0.2022"/>
              <dgm:constr type="w" for="ch" forName="Parent8" refType="w" fact="0.0579"/>
              <dgm:constr type="h" for="ch" forName="Parent8" refType="h" fact="0.3799"/>
              <dgm:constr type="l" for="ch" forName="Parent7" refType="w" fact="0.5689"/>
              <dgm:constr type="t" for="ch" forName="Parent7" refType="h" fact="0.2022"/>
              <dgm:constr type="w" for="ch" forName="Parent7" refType="w" fact="0.0579"/>
              <dgm:constr type="h" for="ch" forName="Parent7" refType="h" fact="0.3799"/>
              <dgm:constr type="l" for="ch" forName="Parent6" refType="w" fact="0.4792"/>
              <dgm:constr type="t" for="ch" forName="Parent6" refType="h" fact="0.2022"/>
              <dgm:constr type="w" for="ch" forName="Parent6" refType="w" fact="0.0579"/>
              <dgm:constr type="h" for="ch" forName="Parent6" refType="h" fact="0.3799"/>
              <dgm:constr type="l" for="ch" forName="Parent5" refType="w" fact="0.3895"/>
              <dgm:constr type="t" for="ch" forName="Parent5" refType="h" fact="0.2022"/>
              <dgm:constr type="w" for="ch" forName="Parent5" refType="w" fact="0.0579"/>
              <dgm:constr type="h" for="ch" forName="Parent5" refType="h" fact="0.3799"/>
              <dgm:constr type="l" for="ch" forName="Parent4" refType="w" fact="0.2999"/>
              <dgm:constr type="t" for="ch" forName="Parent4" refType="h" fact="0.2022"/>
              <dgm:constr type="w" for="ch" forName="Parent4" refType="w" fact="0.0579"/>
              <dgm:constr type="h" for="ch" forName="Parent4" refType="h" fact="0.3799"/>
              <dgm:constr type="l" for="ch" forName="Parent3" refType="w" fact="0.2102"/>
              <dgm:constr type="t" for="ch" forName="Parent3" refType="h" fact="0.2022"/>
              <dgm:constr type="w" for="ch" forName="Parent3" refType="w" fact="0.0579"/>
              <dgm:constr type="h" for="ch" forName="Parent3" refType="h" fact="0.3799"/>
              <dgm:constr type="l" for="ch" forName="Parent2" refType="w" fact="0.1205"/>
              <dgm:constr type="t" for="ch" forName="Parent2" refType="h" fact="0.2022"/>
              <dgm:constr type="w" for="ch" forName="Parent2" refType="w" fact="0.0579"/>
              <dgm:constr type="h" for="ch" forName="Parent2" refType="h" fact="0.3799"/>
              <dgm:constr type="l" for="ch" forName="Parent1" refType="w" fact="0.0308"/>
              <dgm:constr type="t" for="ch" forName="Parent1" refType="h" fact="0.2022"/>
              <dgm:constr type="w" for="ch" forName="Parent1" refType="w" fact="0.0579"/>
              <dgm:constr type="h" for="ch" forName="Parent1" refType="h" fact="0.3799"/>
              <dgm:constr type="l" for="ch" forName="Accent11" refType="w" fact="0.9132"/>
              <dgm:constr type="t" for="ch" forName="Accent11" refType="h" fact="0.1072"/>
              <dgm:constr type="w" for="ch" forName="Accent11" refType="w" fact="0.0868"/>
              <dgm:constr type="h" for="ch" forName="Accent11" refType="h" fact="0.5699"/>
              <dgm:constr type="l" for="ch" forName="ParentBackground11" refType="w" fact="0.9161"/>
              <dgm:constr type="t" for="ch" forName="ParentBackground11" refType="h" fact="0.1262"/>
              <dgm:constr type="w" for="ch" forName="ParentBackground11" refType="w" fact="0.081"/>
              <dgm:constr type="h" for="ch" forName="ParentBackground11" refType="h" fact="0.5319"/>
              <dgm:constr type="l" for="ch" forName="Child11" refType="w" fact="0.9161"/>
              <dgm:constr type="t" for="ch" forName="Child11" refType="h" fact="0.6876"/>
              <dgm:constr type="w" for="ch" forName="Child11" refType="w" fact="0.081"/>
              <dgm:constr type="h" for="ch" forName="Child11" refType="h" fact="0.3124"/>
              <dgm:constr type="l" for="ch" forName="Accent10" refType="w" fact="0.8055"/>
              <dgm:constr type="t" for="ch" forName="Accent10" refType="h" fact="-0.0109"/>
              <dgm:constr type="w" for="ch" forName="Accent10" refType="w" fact="0.1228"/>
              <dgm:constr type="h" for="ch" forName="Accent10" refType="h" fact="0.806"/>
              <dgm:constr type="l" for="ch" forName="ParentBackground10" refType="w" fact="0.8264"/>
              <dgm:constr type="t" for="ch" forName="ParentBackground10" refType="h" fact="0.1262"/>
              <dgm:constr type="w" for="ch" forName="ParentBackground10" refType="w" fact="0.081"/>
              <dgm:constr type="h" for="ch" forName="ParentBackground10" refType="h" fact="0.5319"/>
              <dgm:constr type="l" for="ch" forName="Child10" refType="w" fact="0.8264"/>
              <dgm:constr type="t" for="ch" forName="Child10" refType="h" fact="0.6876"/>
              <dgm:constr type="w" for="ch" forName="Child10" refType="w" fact="0.081"/>
              <dgm:constr type="h" for="ch" forName="Child10" refType="h" fact="0.3124"/>
              <dgm:constr type="l" for="ch" forName="Accent9" refType="w" fact="0.7158"/>
              <dgm:constr type="t" for="ch" forName="Accent9" refType="h" fact="-0.0109"/>
              <dgm:constr type="w" for="ch" forName="Accent9" refType="w" fact="0.1228"/>
              <dgm:constr type="h" for="ch" forName="Accent9" refType="h" fact="0.806"/>
              <dgm:constr type="l" for="ch" forName="ParentBackground9" refType="w" fact="0.7367"/>
              <dgm:constr type="t" for="ch" forName="ParentBackground9" refType="h" fact="0.1262"/>
              <dgm:constr type="w" for="ch" forName="ParentBackground9" refType="w" fact="0.081"/>
              <dgm:constr type="h" for="ch" forName="ParentBackground9" refType="h" fact="0.5319"/>
              <dgm:constr type="l" for="ch" forName="Child9" refType="w" fact="0.7367"/>
              <dgm:constr type="t" for="ch" forName="Child9" refType="h" fact="0.6876"/>
              <dgm:constr type="w" for="ch" forName="Child9" refType="w" fact="0.081"/>
              <dgm:constr type="h" for="ch" forName="Child9" refType="h" fact="0.3124"/>
              <dgm:constr type="l" for="ch" forName="Accent8" refType="w" fact="0.6261"/>
              <dgm:constr type="t" for="ch" forName="Accent8" refType="h" fact="-0.0109"/>
              <dgm:constr type="w" for="ch" forName="Accent8" refType="w" fact="0.1228"/>
              <dgm:constr type="h" for="ch" forName="Accent8" refType="h" fact="0.806"/>
              <dgm:constr type="l" for="ch" forName="ParentBackground8" refType="w" fact="0.647"/>
              <dgm:constr type="t" for="ch" forName="ParentBackground8" refType="h" fact="0.1262"/>
              <dgm:constr type="w" for="ch" forName="ParentBackground8" refType="w" fact="0.081"/>
              <dgm:constr type="h" for="ch" forName="ParentBackground8" refType="h" fact="0.5319"/>
              <dgm:constr type="l" for="ch" forName="Child8" refType="w" fact="0.647"/>
              <dgm:constr type="t" for="ch" forName="Child8" refType="h" fact="0.6876"/>
              <dgm:constr type="w" for="ch" forName="Child8" refType="w" fact="0.081"/>
              <dgm:constr type="h" for="ch" forName="Child8" refType="h" fact="0.3124"/>
              <dgm:constr type="l" for="ch" forName="Accent7" refType="w" fact="0.5364"/>
              <dgm:constr type="t" for="ch" forName="Accent7" refType="h" fact="-0.0109"/>
              <dgm:constr type="w" for="ch" forName="Accent7" refType="w" fact="0.1228"/>
              <dgm:constr type="h" for="ch" forName="Accent7" refType="h" fact="0.806"/>
              <dgm:constr type="l" for="ch" forName="ParentBackground7" refType="w" fact="0.5573"/>
              <dgm:constr type="t" for="ch" forName="ParentBackground7" refType="h" fact="0.1262"/>
              <dgm:constr type="w" for="ch" forName="ParentBackground7" refType="w" fact="0.081"/>
              <dgm:constr type="h" for="ch" forName="ParentBackground7" refType="h" fact="0.5319"/>
              <dgm:constr type="l" for="ch" forName="Child7" refType="w" fact="0.5573"/>
              <dgm:constr type="t" for="ch" forName="Child7" refType="h" fact="0.6876"/>
              <dgm:constr type="w" for="ch" forName="Child7" refType="w" fact="0.081"/>
              <dgm:constr type="h" for="ch" forName="Child7" refType="h" fact="0.3124"/>
              <dgm:constr type="l" for="ch" forName="Accent6" refType="w" fact="0.4467"/>
              <dgm:constr type="t" for="ch" forName="Accent6" refType="h" fact="-0.0109"/>
              <dgm:constr type="w" for="ch" forName="Accent6" refType="w" fact="0.1228"/>
              <dgm:constr type="h" for="ch" forName="Accent6" refType="h" fact="0.806"/>
              <dgm:constr type="l" for="ch" forName="ParentBackground6" refType="w" fact="0.4677"/>
              <dgm:constr type="t" for="ch" forName="ParentBackground6" refType="h" fact="0.1262"/>
              <dgm:constr type="w" for="ch" forName="ParentBackground6" refType="w" fact="0.081"/>
              <dgm:constr type="h" for="ch" forName="ParentBackground6" refType="h" fact="0.5319"/>
              <dgm:constr type="l" for="ch" forName="Child6" refType="w" fact="0.4677"/>
              <dgm:constr type="t" for="ch" forName="Child6" refType="h" fact="0.6876"/>
              <dgm:constr type="w" for="ch" forName="Child6" refType="w" fact="0.081"/>
              <dgm:constr type="h" for="ch" forName="Child6" refType="h" fact="0.3124"/>
              <dgm:constr type="l" for="ch" forName="Accent5" refType="w" fact="0.3571"/>
              <dgm:constr type="t" for="ch" forName="Accent5" refType="h" fact="-0.0109"/>
              <dgm:constr type="w" for="ch" forName="Accent5" refType="w" fact="0.1228"/>
              <dgm:constr type="h" for="ch" forName="Accent5" refType="h" fact="0.806"/>
              <dgm:constr type="l" for="ch" forName="ParentBackground5" refType="w" fact="0.378"/>
              <dgm:constr type="t" for="ch" forName="ParentBackground5" refType="h" fact="0.1262"/>
              <dgm:constr type="w" for="ch" forName="ParentBackground5" refType="w" fact="0.081"/>
              <dgm:constr type="h" for="ch" forName="ParentBackground5" refType="h" fact="0.5319"/>
              <dgm:constr type="l" for="ch" forName="Child5" refType="w" fact="0.378"/>
              <dgm:constr type="t" for="ch" forName="Child5" refType="h" fact="0.6876"/>
              <dgm:constr type="w" for="ch" forName="Child5" refType="w" fact="0.081"/>
              <dgm:constr type="h" for="ch" forName="Child5" refType="h" fact="0.3124"/>
              <dgm:constr type="l" for="ch" forName="Accent4" refType="w" fact="0.2674"/>
              <dgm:constr type="t" for="ch" forName="Accent4" refType="h" fact="-0.0109"/>
              <dgm:constr type="w" for="ch" forName="Accent4" refType="w" fact="0.1228"/>
              <dgm:constr type="h" for="ch" forName="Accent4" refType="h" fact="0.806"/>
              <dgm:constr type="l" for="ch" forName="ParentBackground4" refType="w" fact="0.2883"/>
              <dgm:constr type="t" for="ch" forName="ParentBackground4" refType="h" fact="0.1262"/>
              <dgm:constr type="w" for="ch" forName="ParentBackground4" refType="w" fact="0.081"/>
              <dgm:constr type="h" for="ch" forName="ParentBackground4" refType="h" fact="0.5319"/>
              <dgm:constr type="l" for="ch" forName="Child4" refType="w" fact="0.2883"/>
              <dgm:constr type="t" for="ch" forName="Child4" refType="h" fact="0.6876"/>
              <dgm:constr type="w" for="ch" forName="Child4" refType="w" fact="0.081"/>
              <dgm:constr type="h" for="ch" forName="Child4" refType="h" fact="0.3124"/>
              <dgm:constr type="l" for="ch" forName="Accent3" refType="w" fact="0.1777"/>
              <dgm:constr type="t" for="ch" forName="Accent3" refType="h" fact="-0.0109"/>
              <dgm:constr type="w" for="ch" forName="Accent3" refType="w" fact="0.1228"/>
              <dgm:constr type="h" for="ch" forName="Accent3" refType="h" fact="0.806"/>
              <dgm:constr type="l" for="ch" forName="ParentBackground3" refType="w" fact="0.1986"/>
              <dgm:constr type="t" for="ch" forName="ParentBackground3" refType="h" fact="0.1262"/>
              <dgm:constr type="w" for="ch" forName="ParentBackground3" refType="w" fact="0.081"/>
              <dgm:constr type="h" for="ch" forName="ParentBackground3" refType="h" fact="0.5319"/>
              <dgm:constr type="l" for="ch" forName="Child3" refType="w" fact="0.1986"/>
              <dgm:constr type="t" for="ch" forName="Child3" refType="h" fact="0.6876"/>
              <dgm:constr type="w" for="ch" forName="Child3" refType="w" fact="0.081"/>
              <dgm:constr type="h" for="ch" forName="Child3" refType="h" fact="0.3124"/>
              <dgm:constr type="l" for="ch" forName="Accent2" refType="w" fact="0.088"/>
              <dgm:constr type="t" for="ch" forName="Accent2" refType="h" fact="-0.0109"/>
              <dgm:constr type="w" for="ch" forName="Accent2" refType="w" fact="0.1228"/>
              <dgm:constr type="h" for="ch" forName="Accent2" refType="h" fact="0.806"/>
              <dgm:constr type="l" for="ch" forName="ParentBackground2" refType="w" fact="0.1089"/>
              <dgm:constr type="t" for="ch" forName="ParentBackground2" refType="h" fact="0.1262"/>
              <dgm:constr type="w" for="ch" forName="ParentBackground2" refType="w" fact="0.081"/>
              <dgm:constr type="h" for="ch" forName="ParentBackground2" refType="h" fact="0.5319"/>
              <dgm:constr type="l" for="ch" forName="Child2" refType="w" fact="0.1089"/>
              <dgm:constr type="t" for="ch" forName="Child2" refType="h" fact="0.6876"/>
              <dgm:constr type="w" for="ch" forName="Child2" refType="w" fact="0.081"/>
              <dgm:constr type="h" for="ch" forName="Child2" refType="h" fact="0.3124"/>
              <dgm:constr type="l" for="ch" forName="Accent1" refType="w" fact="-0.0017"/>
              <dgm:constr type="t" for="ch" forName="Accent1" refType="h" fact="-0.0109"/>
              <dgm:constr type="w" for="ch" forName="Accent1" refType="w" fact="0.1228"/>
              <dgm:constr type="h" for="ch" forName="Accent1" refType="h" fact="0.806"/>
              <dgm:constr type="l" for="ch" forName="ParentBackground1" refType="w" fact="0.0192"/>
              <dgm:constr type="t" for="ch" forName="ParentBackground1" refType="h" fact="0.1262"/>
              <dgm:constr type="w" for="ch" forName="ParentBackground1" refType="w" fact="0.081"/>
              <dgm:constr type="h" for="ch" forName="ParentBackground1" refType="h" fact="0.5319"/>
              <dgm:constr type="l" for="ch" forName="Child1" refType="w" fact="0.0192"/>
              <dgm:constr type="t" for="ch" forName="Child1" refType="h" fact="0.6876"/>
              <dgm:constr type="w" for="ch" forName="Child1" refType="w" fact="0.081"/>
              <dgm:constr type="h" for="ch" forName="Child1" refType="h" fact="0.3124"/>
            </dgm:constrLst>
          </dgm:else>
        </dgm:choose>
      </dgm:if>
      <dgm:else name="Name15">
        <dgm:choose name="Name16">
          <dgm:if name="Name17" axis="ch" ptType="node" func="cnt" op="equ" val="1">
            <dgm:alg type="composite">
              <dgm:param type="ar" val="0.6383"/>
            </dgm:alg>
            <dgm:constrLst>
              <dgm:constr type="primFontSz" for="des" forName="Child1" val="65"/>
              <dgm:constr type="primFontSz" for="des" forName="Parent1" val="65"/>
              <dgm:constr type="primFontSz" for="des" forName="Child1" refType="primFontSz" refFor="des" refForName="Parent1" op="lte"/>
              <dgm:constr type="l" for="ch" forName="Parent1" refType="w" fact="0.1667"/>
              <dgm:constr type="t" for="ch" forName="Parent1" refType="h" fact="0.1064"/>
              <dgm:constr type="w" for="ch" forName="Parent1" refType="w" fact="0.6667"/>
              <dgm:constr type="h" for="ch" forName="Parent1" refType="h" fact="0.4255"/>
              <dgm:constr type="l" for="ch" forName="Accent1" refType="w" fact="0"/>
              <dgm:constr type="t" for="ch" forName="Accent1" refType="h" fact="0"/>
              <dgm:constr type="w" for="ch" forName="Accent1" refType="w"/>
              <dgm:constr type="h" for="ch" forName="Accent1" refType="h" fact="0.6383"/>
              <dgm:constr type="l" for="ch" forName="ParentBackground1" refType="w" fact="0.0333"/>
              <dgm:constr type="t" for="ch" forName="ParentBackground1" refType="h" fact="0.0213"/>
              <dgm:constr type="w" for="ch" forName="ParentBackground1" refType="w" fact="0.9333"/>
              <dgm:constr type="h" for="ch" forName="ParentBackground1" refType="h" fact="0.5957"/>
              <dgm:constr type="l" for="ch" forName="Child1" refType="w" fact="0.0333"/>
              <dgm:constr type="t" for="ch" forName="Child1" refType="h" fact="0.6574"/>
              <dgm:constr type="w" for="ch" forName="Child1" refType="w" fact="0.9333"/>
              <dgm:constr type="h" for="ch" forName="Child1" refType="h" fact="0.3426"/>
            </dgm:constrLst>
          </dgm:if>
          <dgm:if name="Name18" axis="ch" ptType="node" func="cnt" op="equ" val="2">
            <dgm:alg type="composite">
              <dgm:param type="ar" val="1.265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r" for="ch" forName="Parent2" refType="w" fact="0.3751"/>
              <dgm:constr type="t" for="ch" forName="Parent2" refType="h" fact="0.2022"/>
              <dgm:constr type="w" for="ch" forName="Parent2" refType="w" fact="0.3001"/>
              <dgm:constr type="h" for="ch" forName="Parent2" refType="h" fact="0.3799"/>
              <dgm:constr type="r" for="ch" forName="Parent1" refType="w" fact="0.8403"/>
              <dgm:constr type="t" for="ch" forName="Parent1" refType="h" fact="0.2022"/>
              <dgm:constr type="w" for="ch" forName="Parent1" refType="w" fact="0.3001"/>
              <dgm:constr type="h" for="ch" forName="Parent1" refType="h" fact="0.3799"/>
              <dgm:constr type="r" for="ch" forName="Accent2" refType="w" fact="0.4502"/>
              <dgm:constr type="t" for="ch" forName="Accent2" refType="h" fact="0.1072"/>
              <dgm:constr type="w" for="ch" forName="Accent2" refType="w" fact="0.4502"/>
              <dgm:constr type="h" for="ch" forName="Accent2" refType="h" fact="0.5699"/>
              <dgm:constr type="r" for="ch" forName="ParentBackground2" refType="w" fact="0.4352"/>
              <dgm:constr type="t" for="ch" forName="ParentBackground2" refType="h" fact="0.1262"/>
              <dgm:constr type="w" for="ch" forName="ParentBackground2" refType="w" fact="0.4201"/>
              <dgm:constr type="h" for="ch" forName="ParentBackground2" refType="h" fact="0.5319"/>
              <dgm:constr type="r" for="ch" forName="Child2" refType="w" fact="0.4352"/>
              <dgm:constr type="t" for="ch" forName="Child2" refType="h" fact="0.6876"/>
              <dgm:constr type="w" for="ch" forName="Child2" refType="w" fact="0.4201"/>
              <dgm:constr type="h" for="ch" forName="Child2" refType="h" fact="0.3124"/>
              <dgm:constr type="r" for="ch" forName="Accent1" refType="w" fact="1.0086"/>
              <dgm:constr type="t" for="ch" forName="Accent1" refType="h" fact="-0.0109"/>
              <dgm:constr type="w" for="ch" forName="Accent1" refType="w" fact="0.6367"/>
              <dgm:constr type="h" for="ch" forName="Accent1" refType="h" fact="0.806"/>
              <dgm:constr type="r" for="ch" forName="ParentBackground1" refType="w" fact="0.9003"/>
              <dgm:constr type="t" for="ch" forName="ParentBackground1" refType="h" fact="0.1262"/>
              <dgm:constr type="w" for="ch" forName="ParentBackground1" refType="w" fact="0.4201"/>
              <dgm:constr type="h" for="ch" forName="ParentBackground1" refType="h" fact="0.5319"/>
              <dgm:constr type="r" for="ch" forName="Child1" refType="w" fact="0.9003"/>
              <dgm:constr type="t" for="ch" forName="Child1" refType="h" fact="0.6876"/>
              <dgm:constr type="w" for="ch" forName="Child1" refType="w" fact="0.4201"/>
              <dgm:constr type="h" for="ch" forName="Child1" refType="h" fact="0.3124"/>
            </dgm:constrLst>
          </dgm:if>
          <dgm:if name="Name19" axis="ch" ptType="node" func="cnt" op="equ" val="3">
            <dgm:alg type="composite">
              <dgm:param type="ar" val="1.854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r" for="ch" forName="Parent3" refType="w" fact="0.256"/>
              <dgm:constr type="t" for="ch" forName="Parent3" refType="h" fact="0.2022"/>
              <dgm:constr type="w" for="ch" forName="Parent3" refType="w" fact="0.2048"/>
              <dgm:constr type="h" for="ch" forName="Parent3" refType="h" fact="0.3799"/>
              <dgm:constr type="r" for="ch" forName="Parent2" refType="w" fact="0.5735"/>
              <dgm:constr type="t" for="ch" forName="Parent2" refType="h" fact="0.2022"/>
              <dgm:constr type="w" for="ch" forName="Parent2" refType="w" fact="0.2048"/>
              <dgm:constr type="h" for="ch" forName="Parent2" refType="h" fact="0.3799"/>
              <dgm:constr type="r" for="ch" forName="Parent1" refType="w" fact="0.891"/>
              <dgm:constr type="t" for="ch" forName="Parent1" refType="h" fact="0.2022"/>
              <dgm:constr type="w" for="ch" forName="Parent1" refType="w" fact="0.2048"/>
              <dgm:constr type="h" for="ch" forName="Parent1" refType="h" fact="0.3799"/>
              <dgm:constr type="r" for="ch" forName="Accent3" refType="w" fact="0.3072"/>
              <dgm:constr type="t" for="ch" forName="Accent3" refType="h" fact="0.1072"/>
              <dgm:constr type="w" for="ch" forName="Accent3" refType="w" fact="0.3072"/>
              <dgm:constr type="h" for="ch" forName="Accent3" refType="h" fact="0.5699"/>
              <dgm:constr type="r" for="ch" forName="ParentBackground3" refType="w" fact="0.297"/>
              <dgm:constr type="t" for="ch" forName="ParentBackground3" refType="h" fact="0.1262"/>
              <dgm:constr type="w" for="ch" forName="ParentBackground3" refType="w" fact="0.2868"/>
              <dgm:constr type="h" for="ch" forName="ParentBackground3" refType="h" fact="0.5319"/>
              <dgm:constr type="r" for="ch" forName="Child3" refType="w" fact="0.297"/>
              <dgm:constr type="t" for="ch" forName="Child3" refType="h" fact="0.6876"/>
              <dgm:constr type="w" for="ch" forName="Child3" refType="w" fact="0.2868"/>
              <dgm:constr type="h" for="ch" forName="Child3" refType="h" fact="0.3124"/>
              <dgm:constr type="r" for="ch" forName="Accent2" refType="w" fact="0.6878"/>
              <dgm:constr type="t" for="ch" forName="Accent2" refType="h" fact="-0.0109"/>
              <dgm:constr type="w" for="ch" forName="Accent2" refType="w" fact="0.4334"/>
              <dgm:constr type="h" for="ch" forName="Accent2" refType="h" fact="0.806"/>
              <dgm:constr type="r" for="ch" forName="ParentBackground2" refType="w" fact="0.6145"/>
              <dgm:constr type="t" for="ch" forName="ParentBackground2" refType="h" fact="0.1262"/>
              <dgm:constr type="w" for="ch" forName="ParentBackground2" refType="w" fact="0.2868"/>
              <dgm:constr type="h" for="ch" forName="ParentBackground2" refType="h" fact="0.5319"/>
              <dgm:constr type="r" for="ch" forName="Child2" refType="w" fact="0.6145"/>
              <dgm:constr type="t" for="ch" forName="Child2" refType="h" fact="0.6876"/>
              <dgm:constr type="w" for="ch" forName="Child2" refType="w" fact="0.2868"/>
              <dgm:constr type="h" for="ch" forName="Child2" refType="h" fact="0.3124"/>
              <dgm:constr type="r" for="ch" forName="Accent1" refType="w" fact="1.0053"/>
              <dgm:constr type="t" for="ch" forName="Accent1" refType="h" fact="-0.0109"/>
              <dgm:constr type="w" for="ch" forName="Accent1" refType="w" fact="0.4334"/>
              <dgm:constr type="h" for="ch" forName="Accent1" refType="h" fact="0.806"/>
              <dgm:constr type="r" for="ch" forName="ParentBackground1" refType="w" fact="0.932"/>
              <dgm:constr type="t" for="ch" forName="ParentBackground1" refType="h" fact="0.1262"/>
              <dgm:constr type="w" for="ch" forName="ParentBackground1" refType="w" fact="0.2868"/>
              <dgm:constr type="h" for="ch" forName="ParentBackground1" refType="h" fact="0.5319"/>
              <dgm:constr type="r" for="ch" forName="Child1" refType="w" fact="0.932"/>
              <dgm:constr type="t" for="ch" forName="Child1" refType="h" fact="0.6876"/>
              <dgm:constr type="w" for="ch" forName="Child1" refType="w" fact="0.2868"/>
              <dgm:constr type="h" for="ch" forName="Child1" refType="h" fact="0.3124"/>
            </dgm:constrLst>
          </dgm:if>
          <dgm:if name="Name20" axis="ch" ptType="node" func="cnt" op="equ" val="4">
            <dgm:alg type="composite">
              <dgm:param type="ar" val="2.4437"/>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r" for="ch" forName="Parent4" refType="w" fact="0.1943"/>
              <dgm:constr type="t" for="ch" forName="Parent4" refType="h" fact="0.2022"/>
              <dgm:constr type="w" for="ch" forName="Parent4" refType="w" fact="0.1555"/>
              <dgm:constr type="h" for="ch" forName="Parent4" refType="h" fact="0.3799"/>
              <dgm:constr type="r" for="ch" forName="Parent3" refType="w" fact="0.4353"/>
              <dgm:constr type="t" for="ch" forName="Parent3" refType="h" fact="0.2022"/>
              <dgm:constr type="w" for="ch" forName="Parent3" refType="w" fact="0.1555"/>
              <dgm:constr type="h" for="ch" forName="Parent3" refType="h" fact="0.3799"/>
              <dgm:constr type="r" for="ch" forName="Parent2" refType="w" fact="0.6763"/>
              <dgm:constr type="t" for="ch" forName="Parent2" refType="h" fact="0.2022"/>
              <dgm:constr type="w" for="ch" forName="Parent2" refType="w" fact="0.1555"/>
              <dgm:constr type="h" for="ch" forName="Parent2" refType="h" fact="0.3799"/>
              <dgm:constr type="r" for="ch" forName="Parent1" refType="w" fact="0.9173"/>
              <dgm:constr type="t" for="ch" forName="Parent1" refType="h" fact="0.2022"/>
              <dgm:constr type="w" for="ch" forName="Parent1" refType="w" fact="0.1555"/>
              <dgm:constr type="h" for="ch" forName="Parent1" refType="h" fact="0.3799"/>
              <dgm:constr type="r" for="ch" forName="Accent4" refType="w" fact="0.2332"/>
              <dgm:constr type="t" for="ch" forName="Accent4" refType="h" fact="0.1072"/>
              <dgm:constr type="w" for="ch" forName="Accent4" refType="w" fact="0.2332"/>
              <dgm:constr type="h" for="ch" forName="Accent4" refType="h" fact="0.5699"/>
              <dgm:constr type="r" for="ch" forName="ParentBackground4" refType="w" fact="0.2254"/>
              <dgm:constr type="t" for="ch" forName="ParentBackground4" refType="h" fact="0.1262"/>
              <dgm:constr type="w" for="ch" forName="ParentBackground4" refType="w" fact="0.2177"/>
              <dgm:constr type="h" for="ch" forName="ParentBackground4" refType="h" fact="0.5319"/>
              <dgm:constr type="r" for="ch" forName="Child4" refType="w" fact="0.2254"/>
              <dgm:constr type="t" for="ch" forName="Child4" refType="h" fact="0.6876"/>
              <dgm:constr type="w" for="ch" forName="Child4" refType="w" fact="0.2177"/>
              <dgm:constr type="h" for="ch" forName="Child4" refType="h" fact="0.3124"/>
              <dgm:constr type="r" for="ch" forName="Accent3" refType="w" fact="0.5235"/>
              <dgm:constr type="t" for="ch" forName="Accent3" refType="h" fact="-0.0109"/>
              <dgm:constr type="w" for="ch" forName="Accent3" refType="w" fact="0.3298"/>
              <dgm:constr type="h" for="ch" forName="Accent3" refType="h" fact="0.806"/>
              <dgm:constr type="r" for="ch" forName="ParentBackground3" refType="w" fact="0.4664"/>
              <dgm:constr type="t" for="ch" forName="ParentBackground3" refType="h" fact="0.1262"/>
              <dgm:constr type="w" for="ch" forName="ParentBackground3" refType="w" fact="0.2177"/>
              <dgm:constr type="h" for="ch" forName="ParentBackground3" refType="h" fact="0.5319"/>
              <dgm:constr type="r" for="ch" forName="Child3" refType="w" fact="0.4664"/>
              <dgm:constr type="t" for="ch" forName="Child3" refType="h" fact="0.6876"/>
              <dgm:constr type="w" for="ch" forName="Child3" refType="w" fact="0.2177"/>
              <dgm:constr type="h" for="ch" forName="Child3" refType="h" fact="0.3124"/>
              <dgm:constr type="r" for="ch" forName="Accent2" refType="w" fact="0.7635"/>
              <dgm:constr type="t" for="ch" forName="Accent2" refType="h" fact="-0.0109"/>
              <dgm:constr type="w" for="ch" forName="Accent2" refType="w" fact="0.3298"/>
              <dgm:constr type="h" for="ch" forName="Accent2" refType="h" fact="0.806"/>
              <dgm:constr type="r" for="ch" forName="ParentBackground2" refType="w" fact="0.7074"/>
              <dgm:constr type="t" for="ch" forName="ParentBackground2" refType="h" fact="0.1262"/>
              <dgm:constr type="w" for="ch" forName="ParentBackground2" refType="w" fact="0.2177"/>
              <dgm:constr type="h" for="ch" forName="ParentBackground2" refType="h" fact="0.5319"/>
              <dgm:constr type="r" for="ch" forName="Child2" refType="w" fact="0.7074"/>
              <dgm:constr type="t" for="ch" forName="Child2" refType="h" fact="0.6876"/>
              <dgm:constr type="w" for="ch" forName="Child2" refType="w" fact="0.2177"/>
              <dgm:constr type="h" for="ch" forName="Child2" refType="h" fact="0.3124"/>
              <dgm:constr type="r" for="ch" forName="Accent1" refType="w" fact="1.0045"/>
              <dgm:constr type="t" for="ch" forName="Accent1" refType="h" fact="-0.0109"/>
              <dgm:constr type="w" for="ch" forName="Accent1" refType="w" fact="0.3298"/>
              <dgm:constr type="h" for="ch" forName="Accent1" refType="h" fact="0.806"/>
              <dgm:constr type="r" for="ch" forName="ParentBackground1" refType="w" fact="0.9484"/>
              <dgm:constr type="t" for="ch" forName="ParentBackground1" refType="h" fact="0.1262"/>
              <dgm:constr type="w" for="ch" forName="ParentBackground1" refType="w" fact="0.2177"/>
              <dgm:constr type="h" for="ch" forName="ParentBackground1" refType="h" fact="0.5319"/>
              <dgm:constr type="r" for="ch" forName="Child1" refType="w" fact="0.9484"/>
              <dgm:constr type="t" for="ch" forName="Child1" refType="h" fact="0.6876"/>
              <dgm:constr type="w" for="ch" forName="Child1" refType="w" fact="0.2177"/>
              <dgm:constr type="h" for="ch" forName="Child1" refType="h" fact="0.3124"/>
            </dgm:constrLst>
          </dgm:if>
          <dgm:if name="Name21" axis="ch" ptType="node" func="cnt" op="equ" val="5">
            <dgm:alg type="composite">
              <dgm:param type="ar" val="3.0325"/>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r" for="ch" forName="Parent5" refType="w" fact="0.1566"/>
              <dgm:constr type="t" for="ch" forName="Parent5" refType="h" fact="0.2022"/>
              <dgm:constr type="w" for="ch" forName="Parent5" refType="w" fact="0.1253"/>
              <dgm:constr type="h" for="ch" forName="Parent5" refType="h" fact="0.3799"/>
              <dgm:constr type="r" for="ch" forName="Parent4" refType="w" fact="0.3508"/>
              <dgm:constr type="t" for="ch" forName="Parent4" refType="h" fact="0.2022"/>
              <dgm:constr type="w" for="ch" forName="Parent4" refType="w" fact="0.1253"/>
              <dgm:constr type="h" for="ch" forName="Parent4" refType="h" fact="0.3799"/>
              <dgm:constr type="r" for="ch" forName="Parent3" refType="w" fact="0.545"/>
              <dgm:constr type="t" for="ch" forName="Parent3" refType="h" fact="0.2022"/>
              <dgm:constr type="w" for="ch" forName="Parent3" refType="w" fact="0.1253"/>
              <dgm:constr type="h" for="ch" forName="Parent3" refType="h" fact="0.3799"/>
              <dgm:constr type="r" for="ch" forName="Parent2" refType="w" fact="0.7391"/>
              <dgm:constr type="t" for="ch" forName="Parent2" refType="h" fact="0.2022"/>
              <dgm:constr type="w" for="ch" forName="Parent2" refType="w" fact="0.1253"/>
              <dgm:constr type="h" for="ch" forName="Parent2" refType="h" fact="0.3799"/>
              <dgm:constr type="r" for="ch" forName="Parent1" refType="w" fact="0.9333"/>
              <dgm:constr type="t" for="ch" forName="Parent1" refType="h" fact="0.2022"/>
              <dgm:constr type="w" for="ch" forName="Parent1" refType="w" fact="0.1253"/>
              <dgm:constr type="h" for="ch" forName="Parent1" refType="h" fact="0.3799"/>
              <dgm:constr type="r" for="ch" forName="Accent5" refType="w" fact="0.1879"/>
              <dgm:constr type="t" for="ch" forName="Accent5" refType="h" fact="0.1072"/>
              <dgm:constr type="w" for="ch" forName="Accent5" refType="w" fact="0.1879"/>
              <dgm:constr type="h" for="ch" forName="Accent5" refType="h" fact="0.5699"/>
              <dgm:constr type="r" for="ch" forName="ParentBackground5" refType="w" fact="0.1817"/>
              <dgm:constr type="t" for="ch" forName="ParentBackground5" refType="h" fact="0.1262"/>
              <dgm:constr type="w" for="ch" forName="ParentBackground5" refType="w" fact="0.1754"/>
              <dgm:constr type="h" for="ch" forName="ParentBackground5" refType="h" fact="0.5319"/>
              <dgm:constr type="r" for="ch" forName="Child5" refType="w" fact="0.1817"/>
              <dgm:constr type="t" for="ch" forName="Child5" refType="h" fact="0.6876"/>
              <dgm:constr type="w" for="ch" forName="Child5" refType="w" fact="0.1754"/>
              <dgm:constr type="h" for="ch" forName="Child5" refType="h" fact="0.3124"/>
              <dgm:constr type="r" for="ch" forName="Accent4" refType="w" fact="0.4211"/>
              <dgm:constr type="t" for="ch" forName="Accent4" refType="h" fact="-0.0109"/>
              <dgm:constr type="w" for="ch" forName="Accent4" refType="w" fact="0.2657"/>
              <dgm:constr type="h" for="ch" forName="Accent4" refType="h" fact="0.806"/>
              <dgm:constr type="r" for="ch" forName="ParentBackground4" refType="w" fact="0.3758"/>
              <dgm:constr type="t" for="ch" forName="ParentBackground4" refType="h" fact="0.1262"/>
              <dgm:constr type="w" for="ch" forName="ParentBackground4" refType="w" fact="0.1754"/>
              <dgm:constr type="h" for="ch" forName="ParentBackground4" refType="h" fact="0.5319"/>
              <dgm:constr type="r" for="ch" forName="Child4" refType="w" fact="0.3758"/>
              <dgm:constr type="t" for="ch" forName="Child4" refType="h" fact="0.6876"/>
              <dgm:constr type="w" for="ch" forName="Child4" refType="w" fact="0.1754"/>
              <dgm:constr type="h" for="ch" forName="Child4" refType="h" fact="0.3124"/>
              <dgm:constr type="r" for="ch" forName="Accent3" refType="w" fact="0.6152"/>
              <dgm:constr type="t" for="ch" forName="Accent3" refType="h" fact="-0.0109"/>
              <dgm:constr type="w" for="ch" forName="Accent3" refType="w" fact="0.2657"/>
              <dgm:constr type="h" for="ch" forName="Accent3" refType="h" fact="0.806"/>
              <dgm:constr type="r" for="ch" forName="ParentBackground3" refType="w" fact="0.57"/>
              <dgm:constr type="t" for="ch" forName="ParentBackground3" refType="h" fact="0.1262"/>
              <dgm:constr type="w" for="ch" forName="ParentBackground3" refType="w" fact="0.1754"/>
              <dgm:constr type="h" for="ch" forName="ParentBackground3" refType="h" fact="0.5319"/>
              <dgm:constr type="r" for="ch" forName="Child3" refType="w" fact="0.57"/>
              <dgm:constr type="t" for="ch" forName="Child3" refType="h" fact="0.6876"/>
              <dgm:constr type="w" for="ch" forName="Child3" refType="w" fact="0.1754"/>
              <dgm:constr type="h" for="ch" forName="Child3" refType="h" fact="0.3124"/>
              <dgm:constr type="r" for="ch" forName="Accent2" refType="w" fact="0.8094"/>
              <dgm:constr type="t" for="ch" forName="Accent2" refType="h" fact="-0.0109"/>
              <dgm:constr type="w" for="ch" forName="Accent2" refType="w" fact="0.2657"/>
              <dgm:constr type="h" for="ch" forName="Accent2" refType="h" fact="0.806"/>
              <dgm:constr type="r" for="ch" forName="ParentBackground2" refType="w" fact="0.7642"/>
              <dgm:constr type="t" for="ch" forName="ParentBackground2" refType="h" fact="0.1262"/>
              <dgm:constr type="w" for="ch" forName="ParentBackground2" refType="w" fact="0.1754"/>
              <dgm:constr type="h" for="ch" forName="ParentBackground2" refType="h" fact="0.5319"/>
              <dgm:constr type="r" for="ch" forName="Child2" refType="w" fact="0.7642"/>
              <dgm:constr type="t" for="ch" forName="Child2" refType="h" fact="0.6876"/>
              <dgm:constr type="w" for="ch" forName="Child2" refType="w" fact="0.1754"/>
              <dgm:constr type="h" for="ch" forName="Child2" refType="h" fact="0.3124"/>
              <dgm:constr type="r" for="ch" forName="Accent1" refType="w" fact="1.0036"/>
              <dgm:constr type="t" for="ch" forName="Accent1" refType="h" fact="-0.0109"/>
              <dgm:constr type="w" for="ch" forName="Accent1" refType="w" fact="0.2657"/>
              <dgm:constr type="h" for="ch" forName="Accent1" refType="h" fact="0.806"/>
              <dgm:constr type="r" for="ch" forName="ParentBackground1" refType="w" fact="0.9584"/>
              <dgm:constr type="t" for="ch" forName="ParentBackground1" refType="h" fact="0.1262"/>
              <dgm:constr type="w" for="ch" forName="ParentBackground1" refType="w" fact="0.1754"/>
              <dgm:constr type="h" for="ch" forName="ParentBackground1" refType="h" fact="0.5319"/>
              <dgm:constr type="r" for="ch" forName="Child1" refType="w" fact="0.9584"/>
              <dgm:constr type="t" for="ch" forName="Child1" refType="h" fact="0.6876"/>
              <dgm:constr type="w" for="ch" forName="Child1" refType="w" fact="0.1754"/>
              <dgm:constr type="h" for="ch" forName="Child1" refType="h" fact="0.3124"/>
            </dgm:constrLst>
          </dgm:if>
          <dgm:if name="Name22" axis="ch" ptType="node" func="cnt" op="equ" val="6">
            <dgm:alg type="composite">
              <dgm:param type="ar" val="3.621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r" for="ch" forName="Parent6" refType="w" fact="0.1311"/>
              <dgm:constr type="t" for="ch" forName="Parent6" refType="h" fact="0.2022"/>
              <dgm:constr type="w" for="ch" forName="Parent6" refType="w" fact="0.1049"/>
              <dgm:constr type="h" for="ch" forName="Parent6" refType="h" fact="0.3799"/>
              <dgm:constr type="r" for="ch" forName="Parent5" refType="w" fact="0.2937"/>
              <dgm:constr type="t" for="ch" forName="Parent5" refType="h" fact="0.2022"/>
              <dgm:constr type="w" for="ch" forName="Parent5" refType="w" fact="0.1049"/>
              <dgm:constr type="h" for="ch" forName="Parent5" refType="h" fact="0.3799"/>
              <dgm:constr type="r" for="ch" forName="Parent4" refType="w" fact="0.4563"/>
              <dgm:constr type="t" for="ch" forName="Parent4" refType="h" fact="0.2022"/>
              <dgm:constr type="w" for="ch" forName="Parent4" refType="w" fact="0.1049"/>
              <dgm:constr type="h" for="ch" forName="Parent4" refType="h" fact="0.3799"/>
              <dgm:constr type="r" for="ch" forName="Parent3" refType="w" fact="0.619"/>
              <dgm:constr type="t" for="ch" forName="Parent3" refType="h" fact="0.2022"/>
              <dgm:constr type="w" for="ch" forName="Parent3" refType="w" fact="0.1049"/>
              <dgm:constr type="h" for="ch" forName="Parent3" refType="h" fact="0.3799"/>
              <dgm:constr type="r" for="ch" forName="Parent2" refType="w" fact="0.7816"/>
              <dgm:constr type="t" for="ch" forName="Parent2" refType="h" fact="0.2022"/>
              <dgm:constr type="w" for="ch" forName="Parent2" refType="w" fact="0.1049"/>
              <dgm:constr type="h" for="ch" forName="Parent2" refType="h" fact="0.3799"/>
              <dgm:constr type="r" for="ch" forName="Parent1" refType="w" fact="0.9442"/>
              <dgm:constr type="t" for="ch" forName="Parent1" refType="h" fact="0.2022"/>
              <dgm:constr type="w" for="ch" forName="Parent1" refType="w" fact="0.1049"/>
              <dgm:constr type="h" for="ch" forName="Parent1" refType="h" fact="0.3799"/>
              <dgm:constr type="r" for="ch" forName="Accent6" refType="w" fact="0.1574"/>
              <dgm:constr type="t" for="ch" forName="Accent6" refType="h" fact="0.1072"/>
              <dgm:constr type="w" for="ch" forName="Accent6" refType="w" fact="0.1574"/>
              <dgm:constr type="h" for="ch" forName="Accent6" refType="h" fact="0.5699"/>
              <dgm:constr type="r" for="ch" forName="ParentBackground6" refType="w" fact="0.1521"/>
              <dgm:constr type="t" for="ch" forName="ParentBackground6" refType="h" fact="0.1262"/>
              <dgm:constr type="w" for="ch" forName="ParentBackground6" refType="w" fact="0.1469"/>
              <dgm:constr type="h" for="ch" forName="ParentBackground6" refType="h" fact="0.5319"/>
              <dgm:constr type="r" for="ch" forName="Child6" refType="w" fact="0.1521"/>
              <dgm:constr type="t" for="ch" forName="Child6" refType="h" fact="0.6876"/>
              <dgm:constr type="w" for="ch" forName="Child6" refType="w" fact="0.1469"/>
              <dgm:constr type="h" for="ch" forName="Child6" refType="h" fact="0.3124"/>
              <dgm:constr type="r" for="ch" forName="Accent5" refType="w" fact="0.3526"/>
              <dgm:constr type="t" for="ch" forName="Accent5" refType="h" fact="-0.0109"/>
              <dgm:constr type="w" for="ch" forName="Accent5" refType="w" fact="0.2226"/>
              <dgm:constr type="h" for="ch" forName="Accent5" refType="h" fact="0.806"/>
              <dgm:constr type="r" for="ch" forName="ParentBackground5" refType="w" fact="0.3147"/>
              <dgm:constr type="t" for="ch" forName="ParentBackground5" refType="h" fact="0.1262"/>
              <dgm:constr type="w" for="ch" forName="ParentBackground5" refType="w" fact="0.1469"/>
              <dgm:constr type="h" for="ch" forName="ParentBackground5" refType="h" fact="0.5319"/>
              <dgm:constr type="r" for="ch" forName="Child5" refType="w" fact="0.3147"/>
              <dgm:constr type="t" for="ch" forName="Child5" refType="h" fact="0.6876"/>
              <dgm:constr type="w" for="ch" forName="Child5" refType="w" fact="0.1469"/>
              <dgm:constr type="h" for="ch" forName="Child5" refType="h" fact="0.3124"/>
              <dgm:constr type="r" for="ch" forName="Accent4" refType="w" fact="0.5152"/>
              <dgm:constr type="t" for="ch" forName="Accent4" refType="h" fact="-0.0109"/>
              <dgm:constr type="w" for="ch" forName="Accent4" refType="w" fact="0.2226"/>
              <dgm:constr type="h" for="ch" forName="Accent4" refType="h" fact="0.806"/>
              <dgm:constr type="r" for="ch" forName="ParentBackground4" refType="w" fact="0.4773"/>
              <dgm:constr type="t" for="ch" forName="ParentBackground4" refType="h" fact="0.1262"/>
              <dgm:constr type="w" for="ch" forName="ParentBackground4" refType="w" fact="0.1469"/>
              <dgm:constr type="h" for="ch" forName="ParentBackground4" refType="h" fact="0.5319"/>
              <dgm:constr type="r" for="ch" forName="Child4" refType="w" fact="0.4773"/>
              <dgm:constr type="t" for="ch" forName="Child4" refType="h" fact="0.6876"/>
              <dgm:constr type="w" for="ch" forName="Child4" refType="w" fact="0.1469"/>
              <dgm:constr type="h" for="ch" forName="Child4" refType="h" fact="0.3124"/>
              <dgm:constr type="r" for="ch" forName="Accent3" refType="w" fact="0.6778"/>
              <dgm:constr type="t" for="ch" forName="Accent3" refType="h" fact="-0.0109"/>
              <dgm:constr type="w" for="ch" forName="Accent3" refType="w" fact="0.2226"/>
              <dgm:constr type="h" for="ch" forName="Accent3" refType="h" fact="0.806"/>
              <dgm:constr type="r" for="ch" forName="ParentBackground3" refType="w" fact="0.6399"/>
              <dgm:constr type="t" for="ch" forName="ParentBackground3" refType="h" fact="0.1262"/>
              <dgm:constr type="w" for="ch" forName="ParentBackground3" refType="w" fact="0.1469"/>
              <dgm:constr type="h" for="ch" forName="ParentBackground3" refType="h" fact="0.5319"/>
              <dgm:constr type="r" for="ch" forName="Child3" refType="w" fact="0.6399"/>
              <dgm:constr type="t" for="ch" forName="Child3" refType="h" fact="0.6876"/>
              <dgm:constr type="w" for="ch" forName="Child3" refType="w" fact="0.1469"/>
              <dgm:constr type="h" for="ch" forName="Child3" refType="h" fact="0.3124"/>
              <dgm:constr type="r" for="ch" forName="Accent2" refType="w" fact="0.8404"/>
              <dgm:constr type="t" for="ch" forName="Accent2" refType="h" fact="-0.0109"/>
              <dgm:constr type="w" for="ch" forName="Accent2" refType="w" fact="0.2226"/>
              <dgm:constr type="h" for="ch" forName="Accent2" refType="h" fact="0.806"/>
              <dgm:constr type="r" for="ch" forName="ParentBackground2" refType="w" fact="0.8025"/>
              <dgm:constr type="t" for="ch" forName="ParentBackground2" refType="h" fact="0.1262"/>
              <dgm:constr type="w" for="ch" forName="ParentBackground2" refType="w" fact="0.1469"/>
              <dgm:constr type="h" for="ch" forName="ParentBackground2" refType="h" fact="0.5319"/>
              <dgm:constr type="r" for="ch" forName="Child2" refType="w" fact="0.8025"/>
              <dgm:constr type="t" for="ch" forName="Child2" refType="h" fact="0.6876"/>
              <dgm:constr type="w" for="ch" forName="Child2" refType="w" fact="0.1469"/>
              <dgm:constr type="h" for="ch" forName="Child2" refType="h" fact="0.3124"/>
              <dgm:constr type="r" for="ch" forName="Accent1" refType="w" fact="1.003"/>
              <dgm:constr type="t" for="ch" forName="Accent1" refType="h" fact="-0.0109"/>
              <dgm:constr type="w" for="ch" forName="Accent1" refType="w" fact="0.2226"/>
              <dgm:constr type="h" for="ch" forName="Accent1" refType="h" fact="0.806"/>
              <dgm:constr type="r" for="ch" forName="ParentBackground1" refType="w" fact="0.9652"/>
              <dgm:constr type="t" for="ch" forName="ParentBackground1" refType="h" fact="0.1262"/>
              <dgm:constr type="w" for="ch" forName="ParentBackground1" refType="w" fact="0.1469"/>
              <dgm:constr type="h" for="ch" forName="ParentBackground1" refType="h" fact="0.5319"/>
              <dgm:constr type="r" for="ch" forName="Child1" refType="w" fact="0.9652"/>
              <dgm:constr type="t" for="ch" forName="Child1" refType="h" fact="0.6876"/>
              <dgm:constr type="w" for="ch" forName="Child1" refType="w" fact="0.1469"/>
              <dgm:constr type="h" for="ch" forName="Child1" refType="h" fact="0.3124"/>
            </dgm:constrLst>
          </dgm:if>
          <dgm:if name="Name23" axis="ch" ptType="node" func="cnt" op="equ" val="7">
            <dgm:alg type="composite">
              <dgm:param type="ar" val="4.210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r" for="ch" forName="Parent7" refType="w" fact="0.1128"/>
              <dgm:constr type="t" for="ch" forName="Parent7" refType="h" fact="0.2022"/>
              <dgm:constr type="w" for="ch" forName="Parent7" refType="w" fact="0.0902"/>
              <dgm:constr type="h" for="ch" forName="Parent7" refType="h" fact="0.3799"/>
              <dgm:constr type="r" for="ch" forName="Parent6" refType="w" fact="0.2527"/>
              <dgm:constr type="t" for="ch" forName="Parent6" refType="h" fact="0.2022"/>
              <dgm:constr type="w" for="ch" forName="Parent6" refType="w" fact="0.0902"/>
              <dgm:constr type="h" for="ch" forName="Parent6" refType="h" fact="0.3799"/>
              <dgm:constr type="r" for="ch" forName="Parent5" refType="w" fact="0.3925"/>
              <dgm:constr type="t" for="ch" forName="Parent5" refType="h" fact="0.2022"/>
              <dgm:constr type="w" for="ch" forName="Parent5" refType="w" fact="0.0902"/>
              <dgm:constr type="h" for="ch" forName="Parent5" refType="h" fact="0.3799"/>
              <dgm:constr type="r" for="ch" forName="Parent4" refType="w" fact="0.5324"/>
              <dgm:constr type="t" for="ch" forName="Parent4" refType="h" fact="0.2022"/>
              <dgm:constr type="w" for="ch" forName="Parent4" refType="w" fact="0.0902"/>
              <dgm:constr type="h" for="ch" forName="Parent4" refType="h" fact="0.3799"/>
              <dgm:constr type="r" for="ch" forName="Parent3" refType="w" fact="0.6723"/>
              <dgm:constr type="t" for="ch" forName="Parent3" refType="h" fact="0.2022"/>
              <dgm:constr type="w" for="ch" forName="Parent3" refType="w" fact="0.0902"/>
              <dgm:constr type="h" for="ch" forName="Parent3" refType="h" fact="0.3799"/>
              <dgm:constr type="r" for="ch" forName="Parent2" refType="w" fact="0.8121"/>
              <dgm:constr type="t" for="ch" forName="Parent2" refType="h" fact="0.2022"/>
              <dgm:constr type="w" for="ch" forName="Parent2" refType="w" fact="0.0902"/>
              <dgm:constr type="h" for="ch" forName="Parent2" refType="h" fact="0.3799"/>
              <dgm:constr type="r" for="ch" forName="Parent1" refType="w" fact="0.952"/>
              <dgm:constr type="t" for="ch" forName="Parent1" refType="h" fact="0.2022"/>
              <dgm:constr type="w" for="ch" forName="Parent1" refType="w" fact="0.0902"/>
              <dgm:constr type="h" for="ch" forName="Parent1" refType="h" fact="0.3799"/>
              <dgm:constr type="r" for="ch" forName="Accent7" refType="w" fact="0.1354"/>
              <dgm:constr type="t" for="ch" forName="Accent7" refType="h" fact="0.1072"/>
              <dgm:constr type="w" for="ch" forName="Accent7" refType="w" fact="0.1354"/>
              <dgm:constr type="h" for="ch" forName="Accent7" refType="h" fact="0.5699"/>
              <dgm:constr type="r" for="ch" forName="ParentBackground7" refType="w" fact="0.1308"/>
              <dgm:constr type="t" for="ch" forName="ParentBackground7" refType="h" fact="0.1262"/>
              <dgm:constr type="w" for="ch" forName="ParentBackground7" refType="w" fact="0.1263"/>
              <dgm:constr type="h" for="ch" forName="ParentBackground7" refType="h" fact="0.5319"/>
              <dgm:constr type="r" for="ch" forName="Child7" refType="w" fact="0.1308"/>
              <dgm:constr type="t" for="ch" forName="Child7" refType="h" fact="0.6876"/>
              <dgm:constr type="w" for="ch" forName="Child7" refType="w" fact="0.1263"/>
              <dgm:constr type="h" for="ch" forName="Child7" refType="h" fact="0.3124"/>
              <dgm:constr type="r" for="ch" forName="Accent6" refType="w" fact="0.3033"/>
              <dgm:constr type="t" for="ch" forName="Accent6" refType="h" fact="-0.0109"/>
              <dgm:constr type="w" for="ch" forName="Accent6" refType="w" fact="0.1915"/>
              <dgm:constr type="h" for="ch" forName="Accent6" refType="h" fact="0.806"/>
              <dgm:constr type="r" for="ch" forName="ParentBackground6" refType="w" fact="0.2707"/>
              <dgm:constr type="t" for="ch" forName="ParentBackground6" refType="h" fact="0.1262"/>
              <dgm:constr type="w" for="ch" forName="ParentBackground6" refType="w" fact="0.1263"/>
              <dgm:constr type="h" for="ch" forName="ParentBackground6" refType="h" fact="0.5319"/>
              <dgm:constr type="r" for="ch" forName="Child6" refType="w" fact="0.2707"/>
              <dgm:constr type="t" for="ch" forName="Child6" refType="h" fact="0.6876"/>
              <dgm:constr type="w" for="ch" forName="Child6" refType="w" fact="0.1263"/>
              <dgm:constr type="h" for="ch" forName="Child6" refType="h" fact="0.3124"/>
              <dgm:constr type="r" for="ch" forName="Accent5" refType="w" fact="0.4431"/>
              <dgm:constr type="t" for="ch" forName="Accent5" refType="h" fact="-0.0109"/>
              <dgm:constr type="w" for="ch" forName="Accent5" refType="w" fact="0.1915"/>
              <dgm:constr type="h" for="ch" forName="Accent5" refType="h" fact="0.806"/>
              <dgm:constr type="r" for="ch" forName="ParentBackground5" refType="w" fact="0.4106"/>
              <dgm:constr type="t" for="ch" forName="ParentBackground5" refType="h" fact="0.1262"/>
              <dgm:constr type="w" for="ch" forName="ParentBackground5" refType="w" fact="0.1263"/>
              <dgm:constr type="h" for="ch" forName="ParentBackground5" refType="h" fact="0.5319"/>
              <dgm:constr type="r" for="ch" forName="Child5" refType="w" fact="0.4106"/>
              <dgm:constr type="t" for="ch" forName="Child5" refType="h" fact="0.6876"/>
              <dgm:constr type="w" for="ch" forName="Child5" refType="w" fact="0.1263"/>
              <dgm:constr type="h" for="ch" forName="Child5" refType="h" fact="0.3124"/>
              <dgm:constr type="r" for="ch" forName="Accent4" refType="w" fact="0.583"/>
              <dgm:constr type="t" for="ch" forName="Accent4" refType="h" fact="-0.0109"/>
              <dgm:constr type="w" for="ch" forName="Accent4" refType="w" fact="0.1915"/>
              <dgm:constr type="h" for="ch" forName="Accent4" refType="h" fact="0.806"/>
              <dgm:constr type="r" for="ch" forName="ParentBackground4" refType="w" fact="0.5504"/>
              <dgm:constr type="t" for="ch" forName="ParentBackground4" refType="h" fact="0.1262"/>
              <dgm:constr type="w" for="ch" forName="ParentBackground4" refType="w" fact="0.1263"/>
              <dgm:constr type="h" for="ch" forName="ParentBackground4" refType="h" fact="0.5319"/>
              <dgm:constr type="r" for="ch" forName="Child4" refType="w" fact="0.5504"/>
              <dgm:constr type="t" for="ch" forName="Child4" refType="h" fact="0.6876"/>
              <dgm:constr type="w" for="ch" forName="Child4" refType="w" fact="0.1263"/>
              <dgm:constr type="h" for="ch" forName="Child4" refType="h" fact="0.3124"/>
              <dgm:constr type="r" for="ch" forName="Accent3" refType="w" fact="0.7229"/>
              <dgm:constr type="t" for="ch" forName="Accent3" refType="h" fact="-0.0109"/>
              <dgm:constr type="w" for="ch" forName="Accent3" refType="w" fact="0.1915"/>
              <dgm:constr type="h" for="ch" forName="Accent3" refType="h" fact="0.806"/>
              <dgm:constr type="r" for="ch" forName="ParentBackground3" refType="w" fact="0.6903"/>
              <dgm:constr type="t" for="ch" forName="ParentBackground3" refType="h" fact="0.1262"/>
              <dgm:constr type="w" for="ch" forName="ParentBackground3" refType="w" fact="0.1263"/>
              <dgm:constr type="h" for="ch" forName="ParentBackground3" refType="h" fact="0.5319"/>
              <dgm:constr type="r" for="ch" forName="Child3" refType="w" fact="0.6903"/>
              <dgm:constr type="t" for="ch" forName="Child3" refType="h" fact="0.6876"/>
              <dgm:constr type="w" for="ch" forName="Child3" refType="w" fact="0.1263"/>
              <dgm:constr type="h" for="ch" forName="Child3" refType="h" fact="0.3124"/>
              <dgm:constr type="r" for="ch" forName="Accent2" refType="w" fact="0.8627"/>
              <dgm:constr type="t" for="ch" forName="Accent2" refType="h" fact="-0.0109"/>
              <dgm:constr type="w" for="ch" forName="Accent2" refType="w" fact="0.1915"/>
              <dgm:constr type="h" for="ch" forName="Accent2" refType="h" fact="0.806"/>
              <dgm:constr type="r" for="ch" forName="ParentBackground2" refType="w" fact="0.8302"/>
              <dgm:constr type="t" for="ch" forName="ParentBackground2" refType="h" fact="0.1262"/>
              <dgm:constr type="w" for="ch" forName="ParentBackground2" refType="w" fact="0.1263"/>
              <dgm:constr type="h" for="ch" forName="ParentBackground2" refType="h" fact="0.5319"/>
              <dgm:constr type="r" for="ch" forName="Child2" refType="w" fact="0.8302"/>
              <dgm:constr type="t" for="ch" forName="Child2" refType="h" fact="0.6876"/>
              <dgm:constr type="w" for="ch" forName="Child2" refType="w" fact="0.1263"/>
              <dgm:constr type="h" for="ch" forName="Child2" refType="h" fact="0.3124"/>
              <dgm:constr type="r" for="ch" forName="Accent1" refType="w" fact="1.0026"/>
              <dgm:constr type="t" for="ch" forName="Accent1" refType="h" fact="-0.0109"/>
              <dgm:constr type="w" for="ch" forName="Accent1" refType="w" fact="0.1915"/>
              <dgm:constr type="h" for="ch" forName="Accent1" refType="h" fact="0.806"/>
              <dgm:constr type="r" for="ch" forName="ParentBackground1" refType="w" fact="0.97"/>
              <dgm:constr type="t" for="ch" forName="ParentBackground1" refType="h" fact="0.1262"/>
              <dgm:constr type="w" for="ch" forName="ParentBackground1" refType="w" fact="0.1263"/>
              <dgm:constr type="h" for="ch" forName="ParentBackground1" refType="h" fact="0.5319"/>
              <dgm:constr type="r" for="ch" forName="Child1" refType="w" fact="0.97"/>
              <dgm:constr type="t" for="ch" forName="Child1" refType="h" fact="0.6876"/>
              <dgm:constr type="w" for="ch" forName="Child1" refType="w" fact="0.1263"/>
              <dgm:constr type="h" for="ch" forName="Child1" refType="h" fact="0.3124"/>
            </dgm:constrLst>
          </dgm:if>
          <dgm:if name="Name24" axis="ch" ptType="node" func="cnt" op="equ" val="8">
            <dgm:alg type="composite">
              <dgm:param type="ar" val="4.799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r" for="ch" forName="Parent8" refType="w" fact="0.099"/>
              <dgm:constr type="t" for="ch" forName="Parent8" refType="h" fact="0.2022"/>
              <dgm:constr type="w" for="ch" forName="Parent8" refType="w" fact="0.0792"/>
              <dgm:constr type="h" for="ch" forName="Parent8" refType="h" fact="0.3799"/>
              <dgm:constr type="r" for="ch" forName="Parent7" refType="w" fact="0.2217"/>
              <dgm:constr type="t" for="ch" forName="Parent7" refType="h" fact="0.2022"/>
              <dgm:constr type="w" for="ch" forName="Parent7" refType="w" fact="0.0792"/>
              <dgm:constr type="h" for="ch" forName="Parent7" refType="h" fact="0.3799"/>
              <dgm:constr type="r" for="ch" forName="Parent6" refType="w" fact="0.3444"/>
              <dgm:constr type="t" for="ch" forName="Parent6" refType="h" fact="0.2022"/>
              <dgm:constr type="w" for="ch" forName="Parent6" refType="w" fact="0.0792"/>
              <dgm:constr type="h" for="ch" forName="Parent6" refType="h" fact="0.3799"/>
              <dgm:constr type="r" for="ch" forName="Parent5" refType="w" fact="0.4671"/>
              <dgm:constr type="t" for="ch" forName="Parent5" refType="h" fact="0.2022"/>
              <dgm:constr type="w" for="ch" forName="Parent5" refType="w" fact="0.0792"/>
              <dgm:constr type="h" for="ch" forName="Parent5" refType="h" fact="0.3799"/>
              <dgm:constr type="r" for="ch" forName="Parent4" refType="w" fact="0.5898"/>
              <dgm:constr type="t" for="ch" forName="Parent4" refType="h" fact="0.2022"/>
              <dgm:constr type="w" for="ch" forName="Parent4" refType="w" fact="0.0792"/>
              <dgm:constr type="h" for="ch" forName="Parent4" refType="h" fact="0.3799"/>
              <dgm:constr type="r" for="ch" forName="Parent3" refType="w" fact="0.7125"/>
              <dgm:constr type="t" for="ch" forName="Parent3" refType="h" fact="0.2022"/>
              <dgm:constr type="w" for="ch" forName="Parent3" refType="w" fact="0.0792"/>
              <dgm:constr type="h" for="ch" forName="Parent3" refType="h" fact="0.3799"/>
              <dgm:constr type="r" for="ch" forName="Parent2" refType="w" fact="0.8352"/>
              <dgm:constr type="t" for="ch" forName="Parent2" refType="h" fact="0.2022"/>
              <dgm:constr type="w" for="ch" forName="Parent2" refType="w" fact="0.0792"/>
              <dgm:constr type="h" for="ch" forName="Parent2" refType="h" fact="0.3799"/>
              <dgm:constr type="r" for="ch" forName="Parent1" refType="w" fact="0.9579"/>
              <dgm:constr type="t" for="ch" forName="Parent1" refType="h" fact="0.2022"/>
              <dgm:constr type="w" for="ch" forName="Parent1" refType="w" fact="0.0792"/>
              <dgm:constr type="h" for="ch" forName="Parent1" refType="h" fact="0.3799"/>
              <dgm:constr type="r" for="ch" forName="Accent8" refType="w" fact="0.1187"/>
              <dgm:constr type="t" for="ch" forName="Accent8" refType="h" fact="0.1072"/>
              <dgm:constr type="w" for="ch" forName="Accent8" refType="w" fact="0.1187"/>
              <dgm:constr type="h" for="ch" forName="Accent8" refType="h" fact="0.5699"/>
              <dgm:constr type="r" for="ch" forName="ParentBackground8" refType="w" fact="0.1148"/>
              <dgm:constr type="t" for="ch" forName="ParentBackground8" refType="h" fact="0.1262"/>
              <dgm:constr type="w" for="ch" forName="ParentBackground8" refType="w" fact="0.1108"/>
              <dgm:constr type="h" for="ch" forName="ParentBackground8" refType="h" fact="0.5319"/>
              <dgm:constr type="r" for="ch" forName="Child8" refType="w" fact="0.1148"/>
              <dgm:constr type="t" for="ch" forName="Child8" refType="h" fact="0.6876"/>
              <dgm:constr type="w" for="ch" forName="Child8" refType="w" fact="0.1108"/>
              <dgm:constr type="h" for="ch" forName="Child8" refType="h" fact="0.3124"/>
              <dgm:constr type="r" for="ch" forName="Accent7" refType="w" fact="0.2661"/>
              <dgm:constr type="t" for="ch" forName="Accent7" refType="h" fact="-0.0109"/>
              <dgm:constr type="w" for="ch" forName="Accent7" refType="w" fact="0.1679"/>
              <dgm:constr type="h" for="ch" forName="Accent7" refType="h" fact="0.806"/>
              <dgm:constr type="r" for="ch" forName="ParentBackground7" refType="w" fact="0.2375"/>
              <dgm:constr type="t" for="ch" forName="ParentBackground7" refType="h" fact="0.1262"/>
              <dgm:constr type="w" for="ch" forName="ParentBackground7" refType="w" fact="0.1108"/>
              <dgm:constr type="h" for="ch" forName="ParentBackground7" refType="h" fact="0.5319"/>
              <dgm:constr type="r" for="ch" forName="Child7" refType="w" fact="0.2375"/>
              <dgm:constr type="t" for="ch" forName="Child7" refType="h" fact="0.6876"/>
              <dgm:constr type="w" for="ch" forName="Child7" refType="w" fact="0.1108"/>
              <dgm:constr type="h" for="ch" forName="Child7" refType="h" fact="0.3124"/>
              <dgm:constr type="r" for="ch" forName="Accent6" refType="w" fact="0.3888"/>
              <dgm:constr type="t" for="ch" forName="Accent6" refType="h" fact="-0.0109"/>
              <dgm:constr type="w" for="ch" forName="Accent6" refType="w" fact="0.1679"/>
              <dgm:constr type="h" for="ch" forName="Accent6" refType="h" fact="0.806"/>
              <dgm:constr type="r" for="ch" forName="ParentBackground6" refType="w" fact="0.3602"/>
              <dgm:constr type="t" for="ch" forName="ParentBackground6" refType="h" fact="0.1262"/>
              <dgm:constr type="w" for="ch" forName="ParentBackground6" refType="w" fact="0.1108"/>
              <dgm:constr type="h" for="ch" forName="ParentBackground6" refType="h" fact="0.5319"/>
              <dgm:constr type="r" for="ch" forName="Child6" refType="w" fact="0.3602"/>
              <dgm:constr type="t" for="ch" forName="Child6" refType="h" fact="0.6876"/>
              <dgm:constr type="w" for="ch" forName="Child6" refType="w" fact="0.1108"/>
              <dgm:constr type="h" for="ch" forName="Child6" refType="h" fact="0.3124"/>
              <dgm:constr type="r" for="ch" forName="Accent5" refType="w" fact="0.5115"/>
              <dgm:constr type="t" for="ch" forName="Accent5" refType="h" fact="-0.0109"/>
              <dgm:constr type="w" for="ch" forName="Accent5" refType="w" fact="0.1679"/>
              <dgm:constr type="h" for="ch" forName="Accent5" refType="h" fact="0.806"/>
              <dgm:constr type="r" for="ch" forName="ParentBackground5" refType="w" fact="0.4829"/>
              <dgm:constr type="t" for="ch" forName="ParentBackground5" refType="h" fact="0.1262"/>
              <dgm:constr type="w" for="ch" forName="ParentBackground5" refType="w" fact="0.1108"/>
              <dgm:constr type="h" for="ch" forName="ParentBackground5" refType="h" fact="0.5319"/>
              <dgm:constr type="r" for="ch" forName="Child5" refType="w" fact="0.4829"/>
              <dgm:constr type="t" for="ch" forName="Child5" refType="h" fact="0.6876"/>
              <dgm:constr type="w" for="ch" forName="Child5" refType="w" fact="0.1108"/>
              <dgm:constr type="h" for="ch" forName="Child5" refType="h" fact="0.3124"/>
              <dgm:constr type="r" for="ch" forName="Accent4" refType="w" fact="0.6342"/>
              <dgm:constr type="t" for="ch" forName="Accent4" refType="h" fact="-0.0109"/>
              <dgm:constr type="w" for="ch" forName="Accent4" refType="w" fact="0.1679"/>
              <dgm:constr type="h" for="ch" forName="Accent4" refType="h" fact="0.806"/>
              <dgm:constr type="r" for="ch" forName="ParentBackground4" refType="w" fact="0.6056"/>
              <dgm:constr type="t" for="ch" forName="ParentBackground4" refType="h" fact="0.1262"/>
              <dgm:constr type="w" for="ch" forName="ParentBackground4" refType="w" fact="0.1108"/>
              <dgm:constr type="h" for="ch" forName="ParentBackground4" refType="h" fact="0.5319"/>
              <dgm:constr type="r" for="ch" forName="Child4" refType="w" fact="0.6056"/>
              <dgm:constr type="t" for="ch" forName="Child4" refType="h" fact="0.6876"/>
              <dgm:constr type="w" for="ch" forName="Child4" refType="w" fact="0.1108"/>
              <dgm:constr type="h" for="ch" forName="Child4" refType="h" fact="0.3124"/>
              <dgm:constr type="r" for="ch" forName="Accent3" refType="w" fact="0.7569"/>
              <dgm:constr type="t" for="ch" forName="Accent3" refType="h" fact="-0.0109"/>
              <dgm:constr type="w" for="ch" forName="Accent3" refType="w" fact="0.1679"/>
              <dgm:constr type="h" for="ch" forName="Accent3" refType="h" fact="0.806"/>
              <dgm:constr type="r" for="ch" forName="ParentBackground3" refType="w" fact="0.7283"/>
              <dgm:constr type="t" for="ch" forName="ParentBackground3" refType="h" fact="0.1262"/>
              <dgm:constr type="w" for="ch" forName="ParentBackground3" refType="w" fact="0.1108"/>
              <dgm:constr type="h" for="ch" forName="ParentBackground3" refType="h" fact="0.5319"/>
              <dgm:constr type="r" for="ch" forName="Child3" refType="w" fact="0.7283"/>
              <dgm:constr type="t" for="ch" forName="Child3" refType="h" fact="0.6876"/>
              <dgm:constr type="w" for="ch" forName="Child3" refType="w" fact="0.1108"/>
              <dgm:constr type="h" for="ch" forName="Child3" refType="h" fact="0.3124"/>
              <dgm:constr type="r" for="ch" forName="Accent2" refType="w" fact="0.8796"/>
              <dgm:constr type="t" for="ch" forName="Accent2" refType="h" fact="-0.0109"/>
              <dgm:constr type="w" for="ch" forName="Accent2" refType="w" fact="0.1679"/>
              <dgm:constr type="h" for="ch" forName="Accent2" refType="h" fact="0.806"/>
              <dgm:constr type="r" for="ch" forName="ParentBackground2" refType="w" fact="0.851"/>
              <dgm:constr type="t" for="ch" forName="ParentBackground2" refType="h" fact="0.1262"/>
              <dgm:constr type="w" for="ch" forName="ParentBackground2" refType="w" fact="0.1108"/>
              <dgm:constr type="h" for="ch" forName="ParentBackground2" refType="h" fact="0.5319"/>
              <dgm:constr type="r" for="ch" forName="Child2" refType="w" fact="0.851"/>
              <dgm:constr type="t" for="ch" forName="Child2" refType="h" fact="0.6876"/>
              <dgm:constr type="w" for="ch" forName="Child2" refType="w" fact="0.1108"/>
              <dgm:constr type="h" for="ch" forName="Child2" refType="h" fact="0.3124"/>
              <dgm:constr type="r" for="ch" forName="Accent1" refType="w" fact="1.0023"/>
              <dgm:constr type="t" for="ch" forName="Accent1" refType="h" fact="-0.0109"/>
              <dgm:constr type="w" for="ch" forName="Accent1" refType="w" fact="0.1679"/>
              <dgm:constr type="h" for="ch" forName="Accent1" refType="h" fact="0.806"/>
              <dgm:constr type="r" for="ch" forName="ParentBackground1" refType="w" fact="0.9737"/>
              <dgm:constr type="t" for="ch" forName="ParentBackground1" refType="h" fact="0.1262"/>
              <dgm:constr type="w" for="ch" forName="ParentBackground1" refType="w" fact="0.1108"/>
              <dgm:constr type="h" for="ch" forName="ParentBackground1" refType="h" fact="0.5319"/>
              <dgm:constr type="r" for="ch" forName="Child1" refType="w" fact="0.9737"/>
              <dgm:constr type="t" for="ch" forName="Child1" refType="h" fact="0.6876"/>
              <dgm:constr type="w" for="ch" forName="Child1" refType="w" fact="0.1108"/>
              <dgm:constr type="h" for="ch" forName="Child1" refType="h" fact="0.3124"/>
            </dgm:constrLst>
          </dgm:if>
          <dgm:if name="Name25" axis="ch" ptType="node" func="cnt" op="equ" val="9">
            <dgm:alg type="composite">
              <dgm:param type="ar" val="5.38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r" for="ch" forName="Parent9" refType="w" fact="0.0881"/>
              <dgm:constr type="t" for="ch" forName="Parent9" refType="h" fact="0.2022"/>
              <dgm:constr type="w" for="ch" forName="Parent9" refType="w" fact="0.0705"/>
              <dgm:constr type="h" for="ch" forName="Parent9" refType="h" fact="0.3799"/>
              <dgm:constr type="r" for="ch" forName="Parent8" refType="w" fact="0.1974"/>
              <dgm:constr type="t" for="ch" forName="Parent8" refType="h" fact="0.2022"/>
              <dgm:constr type="w" for="ch" forName="Parent8" refType="w" fact="0.0705"/>
              <dgm:constr type="h" for="ch" forName="Parent8" refType="h" fact="0.3799"/>
              <dgm:constr type="r" for="ch" forName="Parent7" refType="w" fact="0.3067"/>
              <dgm:constr type="t" for="ch" forName="Parent7" refType="h" fact="0.2022"/>
              <dgm:constr type="w" for="ch" forName="Parent7" refType="w" fact="0.0705"/>
              <dgm:constr type="h" for="ch" forName="Parent7" refType="h" fact="0.3799"/>
              <dgm:constr type="r" for="ch" forName="Parent6" refType="w" fact="0.416"/>
              <dgm:constr type="t" for="ch" forName="Parent6" refType="h" fact="0.2022"/>
              <dgm:constr type="w" for="ch" forName="Parent6" refType="w" fact="0.0705"/>
              <dgm:constr type="h" for="ch" forName="Parent6" refType="h" fact="0.3799"/>
              <dgm:constr type="r" for="ch" forName="Parent5" refType="w" fact="0.5253"/>
              <dgm:constr type="t" for="ch" forName="Parent5" refType="h" fact="0.2022"/>
              <dgm:constr type="w" for="ch" forName="Parent5" refType="w" fact="0.0705"/>
              <dgm:constr type="h" for="ch" forName="Parent5" refType="h" fact="0.3799"/>
              <dgm:constr type="r" for="ch" forName="Parent4" refType="w" fact="0.6346"/>
              <dgm:constr type="t" for="ch" forName="Parent4" refType="h" fact="0.2022"/>
              <dgm:constr type="w" for="ch" forName="Parent4" refType="w" fact="0.0705"/>
              <dgm:constr type="h" for="ch" forName="Parent4" refType="h" fact="0.3799"/>
              <dgm:constr type="r" for="ch" forName="Parent3" refType="w" fact="0.7439"/>
              <dgm:constr type="t" for="ch" forName="Parent3" refType="h" fact="0.2022"/>
              <dgm:constr type="w" for="ch" forName="Parent3" refType="w" fact="0.0705"/>
              <dgm:constr type="h" for="ch" forName="Parent3" refType="h" fact="0.3799"/>
              <dgm:constr type="r" for="ch" forName="Parent2" refType="w" fact="0.8532"/>
              <dgm:constr type="t" for="ch" forName="Parent2" refType="h" fact="0.2022"/>
              <dgm:constr type="w" for="ch" forName="Parent2" refType="w" fact="0.0705"/>
              <dgm:constr type="h" for="ch" forName="Parent2" refType="h" fact="0.3799"/>
              <dgm:constr type="r" for="ch" forName="Parent1" refType="w" fact="0.9625"/>
              <dgm:constr type="t" for="ch" forName="Parent1" refType="h" fact="0.2022"/>
              <dgm:constr type="w" for="ch" forName="Parent1" refType="w" fact="0.0705"/>
              <dgm:constr type="h" for="ch" forName="Parent1" refType="h" fact="0.3799"/>
              <dgm:constr type="r" for="ch" forName="Accent9" refType="w" fact="0.1058"/>
              <dgm:constr type="t" for="ch" forName="Accent9" refType="h" fact="0.1072"/>
              <dgm:constr type="w" for="ch" forName="Accent9" refType="w" fact="0.1058"/>
              <dgm:constr type="h" for="ch" forName="Accent9" refType="h" fact="0.5699"/>
              <dgm:constr type="r" for="ch" forName="ParentBackground9" refType="w" fact="0.1022"/>
              <dgm:constr type="t" for="ch" forName="ParentBackground9" refType="h" fact="0.1262"/>
              <dgm:constr type="w" for="ch" forName="ParentBackground9" refType="w" fact="0.0987"/>
              <dgm:constr type="h" for="ch" forName="ParentBackground9" refType="h" fact="0.5319"/>
              <dgm:constr type="r" for="ch" forName="Child9" refType="w" fact="0.1022"/>
              <dgm:constr type="t" for="ch" forName="Child9" refType="h" fact="0.6876"/>
              <dgm:constr type="w" for="ch" forName="Child9" refType="w" fact="0.0987"/>
              <dgm:constr type="h" for="ch" forName="Child9" refType="h" fact="0.3124"/>
              <dgm:constr type="r" for="ch" forName="Accent8" refType="w" fact="0.237"/>
              <dgm:constr type="t" for="ch" forName="Accent8" refType="h" fact="-0.0109"/>
              <dgm:constr type="w" for="ch" forName="Accent8" refType="w" fact="0.1496"/>
              <dgm:constr type="h" for="ch" forName="Accent8" refType="h" fact="0.806"/>
              <dgm:constr type="r" for="ch" forName="ParentBackground8" refType="w" fact="0.2115"/>
              <dgm:constr type="t" for="ch" forName="ParentBackground8" refType="h" fact="0.1262"/>
              <dgm:constr type="w" for="ch" forName="ParentBackground8" refType="w" fact="0.0987"/>
              <dgm:constr type="h" for="ch" forName="ParentBackground8" refType="h" fact="0.5319"/>
              <dgm:constr type="r" for="ch" forName="Child8" refType="w" fact="0.2115"/>
              <dgm:constr type="t" for="ch" forName="Child8" refType="h" fact="0.6876"/>
              <dgm:constr type="w" for="ch" forName="Child8" refType="w" fact="0.0987"/>
              <dgm:constr type="h" for="ch" forName="Child8" refType="h" fact="0.3124"/>
              <dgm:constr type="r" for="ch" forName="Accent7" refType="w" fact="0.3462"/>
              <dgm:constr type="t" for="ch" forName="Accent7" refType="h" fact="-0.0109"/>
              <dgm:constr type="w" for="ch" forName="Accent7" refType="w" fact="0.1496"/>
              <dgm:constr type="h" for="ch" forName="Accent7" refType="h" fact="0.806"/>
              <dgm:constr type="r" for="ch" forName="ParentBackground7" refType="w" fact="0.3208"/>
              <dgm:constr type="t" for="ch" forName="ParentBackground7" refType="h" fact="0.1262"/>
              <dgm:constr type="w" for="ch" forName="ParentBackground7" refType="w" fact="0.0987"/>
              <dgm:constr type="h" for="ch" forName="ParentBackground7" refType="h" fact="0.5319"/>
              <dgm:constr type="r" for="ch" forName="Child7" refType="w" fact="0.3208"/>
              <dgm:constr type="t" for="ch" forName="Child7" refType="h" fact="0.6876"/>
              <dgm:constr type="w" for="ch" forName="Child7" refType="w" fact="0.0987"/>
              <dgm:constr type="h" for="ch" forName="Child7" refType="h" fact="0.3124"/>
              <dgm:constr type="r" for="ch" forName="Accent6" refType="w" fact="0.4555"/>
              <dgm:constr type="t" for="ch" forName="Accent6" refType="h" fact="-0.0109"/>
              <dgm:constr type="w" for="ch" forName="Accent6" refType="w" fact="0.1496"/>
              <dgm:constr type="h" for="ch" forName="Accent6" refType="h" fact="0.806"/>
              <dgm:constr type="r" for="ch" forName="ParentBackground6" refType="w" fact="0.4301"/>
              <dgm:constr type="t" for="ch" forName="ParentBackground6" refType="h" fact="0.1262"/>
              <dgm:constr type="w" for="ch" forName="ParentBackground6" refType="w" fact="0.0987"/>
              <dgm:constr type="h" for="ch" forName="ParentBackground6" refType="h" fact="0.5319"/>
              <dgm:constr type="r" for="ch" forName="Child6" refType="w" fact="0.4301"/>
              <dgm:constr type="t" for="ch" forName="Child6" refType="h" fact="0.6876"/>
              <dgm:constr type="w" for="ch" forName="Child6" refType="w" fact="0.0987"/>
              <dgm:constr type="h" for="ch" forName="Child6" refType="h" fact="0.3124"/>
              <dgm:constr type="r" for="ch" forName="Accent5" refType="w" fact="0.5648"/>
              <dgm:constr type="t" for="ch" forName="Accent5" refType="h" fact="-0.0109"/>
              <dgm:constr type="w" for="ch" forName="Accent5" refType="w" fact="0.1496"/>
              <dgm:constr type="h" for="ch" forName="Accent5" refType="h" fact="0.806"/>
              <dgm:constr type="r" for="ch" forName="ParentBackground5" refType="w" fact="0.5394"/>
              <dgm:constr type="t" for="ch" forName="ParentBackground5" refType="h" fact="0.1262"/>
              <dgm:constr type="w" for="ch" forName="ParentBackground5" refType="w" fact="0.0987"/>
              <dgm:constr type="h" for="ch" forName="ParentBackground5" refType="h" fact="0.5319"/>
              <dgm:constr type="r" for="ch" forName="Child5" refType="w" fact="0.5394"/>
              <dgm:constr type="t" for="ch" forName="Child5" refType="h" fact="0.6876"/>
              <dgm:constr type="w" for="ch" forName="Child5" refType="w" fact="0.0987"/>
              <dgm:constr type="h" for="ch" forName="Child5" refType="h" fact="0.3124"/>
              <dgm:constr type="r" for="ch" forName="Accent4" refType="w" fact="0.6741"/>
              <dgm:constr type="t" for="ch" forName="Accent4" refType="h" fact="-0.0109"/>
              <dgm:constr type="w" for="ch" forName="Accent4" refType="w" fact="0.1496"/>
              <dgm:constr type="h" for="ch" forName="Accent4" refType="h" fact="0.806"/>
              <dgm:constr type="r" for="ch" forName="ParentBackground4" refType="w" fact="0.6487"/>
              <dgm:constr type="t" for="ch" forName="ParentBackground4" refType="h" fact="0.1262"/>
              <dgm:constr type="w" for="ch" forName="ParentBackground4" refType="w" fact="0.0987"/>
              <dgm:constr type="h" for="ch" forName="ParentBackground4" refType="h" fact="0.5319"/>
              <dgm:constr type="r" for="ch" forName="Child4" refType="w" fact="0.6487"/>
              <dgm:constr type="t" for="ch" forName="Child4" refType="h" fact="0.6876"/>
              <dgm:constr type="w" for="ch" forName="Child4" refType="w" fact="0.0987"/>
              <dgm:constr type="h" for="ch" forName="Child4" refType="h" fact="0.3124"/>
              <dgm:constr type="r" for="ch" forName="Accent3" refType="w" fact="0.7834"/>
              <dgm:constr type="t" for="ch" forName="Accent3" refType="h" fact="-0.0109"/>
              <dgm:constr type="w" for="ch" forName="Accent3" refType="w" fact="0.1496"/>
              <dgm:constr type="h" for="ch" forName="Accent3" refType="h" fact="0.806"/>
              <dgm:constr type="r" for="ch" forName="ParentBackground3" refType="w" fact="0.758"/>
              <dgm:constr type="t" for="ch" forName="ParentBackground3" refType="h" fact="0.1262"/>
              <dgm:constr type="w" for="ch" forName="ParentBackground3" refType="w" fact="0.0987"/>
              <dgm:constr type="h" for="ch" forName="ParentBackground3" refType="h" fact="0.5319"/>
              <dgm:constr type="r" for="ch" forName="Child3" refType="w" fact="0.758"/>
              <dgm:constr type="t" for="ch" forName="Child3" refType="h" fact="0.6876"/>
              <dgm:constr type="w" for="ch" forName="Child3" refType="w" fact="0.0987"/>
              <dgm:constr type="h" for="ch" forName="Child3" refType="h" fact="0.3124"/>
              <dgm:constr type="r" for="ch" forName="Accent2" refType="w" fact="0.8927"/>
              <dgm:constr type="t" for="ch" forName="Accent2" refType="h" fact="-0.0109"/>
              <dgm:constr type="w" for="ch" forName="Accent2" refType="w" fact="0.1496"/>
              <dgm:constr type="h" for="ch" forName="Accent2" refType="h" fact="0.806"/>
              <dgm:constr type="r" for="ch" forName="ParentBackground2" refType="w" fact="0.8673"/>
              <dgm:constr type="t" for="ch" forName="ParentBackground2" refType="h" fact="0.1262"/>
              <dgm:constr type="w" for="ch" forName="ParentBackground2" refType="w" fact="0.0987"/>
              <dgm:constr type="h" for="ch" forName="ParentBackground2" refType="h" fact="0.5319"/>
              <dgm:constr type="r" for="ch" forName="Child2" refType="w" fact="0.8673"/>
              <dgm:constr type="t" for="ch" forName="Child2" refType="h" fact="0.6876"/>
              <dgm:constr type="w" for="ch" forName="Child2" refType="w" fact="0.0987"/>
              <dgm:constr type="h" for="ch" forName="Child2" refType="h" fact="0.3124"/>
              <dgm:constr type="r" for="ch" forName="Accent1" refType="w" fact="1.002"/>
              <dgm:constr type="t" for="ch" forName="Accent1" refType="h" fact="-0.0109"/>
              <dgm:constr type="w" for="ch" forName="Accent1" refType="w" fact="0.1496"/>
              <dgm:constr type="h" for="ch" forName="Accent1" refType="h" fact="0.806"/>
              <dgm:constr type="r" for="ch" forName="ParentBackground1" refType="w" fact="0.9765"/>
              <dgm:constr type="t" for="ch" forName="ParentBackground1" refType="h" fact="0.1262"/>
              <dgm:constr type="w" for="ch" forName="ParentBackground1" refType="w" fact="0.0987"/>
              <dgm:constr type="h" for="ch" forName="ParentBackground1" refType="h" fact="0.5319"/>
              <dgm:constr type="r" for="ch" forName="Child1" refType="w" fact="0.9765"/>
              <dgm:constr type="t" for="ch" forName="Child1" refType="h" fact="0.6876"/>
              <dgm:constr type="w" for="ch" forName="Child1" refType="w" fact="0.0987"/>
              <dgm:constr type="h" for="ch" forName="Child1" refType="h" fact="0.3124"/>
            </dgm:constrLst>
          </dgm:if>
          <dgm:if name="Name26" axis="ch" ptType="node" func="cnt" op="equ" val="10">
            <dgm:alg type="composite">
              <dgm:param type="ar" val="5.9769"/>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7"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r" for="ch" forName="Parent10" refType="w" fact="0.0795"/>
              <dgm:constr type="t" for="ch" forName="Parent10" refType="h" fact="0.2022"/>
              <dgm:constr type="w" for="ch" forName="Parent10" refType="w" fact="0.0636"/>
              <dgm:constr type="h" for="ch" forName="Parent10" refType="h" fact="0.3799"/>
              <dgm:constr type="r" for="ch" forName="Parent9" refType="w" fact="0.178"/>
              <dgm:constr type="t" for="ch" forName="Parent9" refType="h" fact="0.2022"/>
              <dgm:constr type="w" for="ch" forName="Parent9" refType="w" fact="0.0636"/>
              <dgm:constr type="h" for="ch" forName="Parent9" refType="h" fact="0.3799"/>
              <dgm:constr type="r" for="ch" forName="Parent8" refType="w" fact="0.2765"/>
              <dgm:constr type="t" for="ch" forName="Parent8" refType="h" fact="0.2022"/>
              <dgm:constr type="w" for="ch" forName="Parent8" refType="w" fact="0.0636"/>
              <dgm:constr type="h" for="ch" forName="Parent8" refType="h" fact="0.3799"/>
              <dgm:constr type="r" for="ch" forName="Parent7" refType="w" fact="0.375"/>
              <dgm:constr type="t" for="ch" forName="Parent7" refType="h" fact="0.2022"/>
              <dgm:constr type="w" for="ch" forName="Parent7" refType="w" fact="0.0636"/>
              <dgm:constr type="h" for="ch" forName="Parent7" refType="h" fact="0.3799"/>
              <dgm:constr type="r" for="ch" forName="Parent6" refType="w" fact="0.4736"/>
              <dgm:constr type="t" for="ch" forName="Parent6" refType="h" fact="0.2022"/>
              <dgm:constr type="w" for="ch" forName="Parent6" refType="w" fact="0.0636"/>
              <dgm:constr type="h" for="ch" forName="Parent6" refType="h" fact="0.3799"/>
              <dgm:constr type="r" for="ch" forName="Parent5" refType="w" fact="0.5721"/>
              <dgm:constr type="t" for="ch" forName="Parent5" refType="h" fact="0.2022"/>
              <dgm:constr type="w" for="ch" forName="Parent5" refType="w" fact="0.0636"/>
              <dgm:constr type="h" for="ch" forName="Parent5" refType="h" fact="0.3799"/>
              <dgm:constr type="r" for="ch" forName="Parent4" refType="w" fact="0.6706"/>
              <dgm:constr type="t" for="ch" forName="Parent4" refType="h" fact="0.2022"/>
              <dgm:constr type="w" for="ch" forName="Parent4" refType="w" fact="0.0636"/>
              <dgm:constr type="h" for="ch" forName="Parent4" refType="h" fact="0.3799"/>
              <dgm:constr type="r" for="ch" forName="Parent3" refType="w" fact="0.7691"/>
              <dgm:constr type="t" for="ch" forName="Parent3" refType="h" fact="0.2022"/>
              <dgm:constr type="w" for="ch" forName="Parent3" refType="w" fact="0.0636"/>
              <dgm:constr type="h" for="ch" forName="Parent3" refType="h" fact="0.3799"/>
              <dgm:constr type="r" for="ch" forName="Parent2" refType="w" fact="0.8676"/>
              <dgm:constr type="t" for="ch" forName="Parent2" refType="h" fact="0.2022"/>
              <dgm:constr type="w" for="ch" forName="Parent2" refType="w" fact="0.0636"/>
              <dgm:constr type="h" for="ch" forName="Parent2" refType="h" fact="0.3799"/>
              <dgm:constr type="r" for="ch" forName="Parent1" refType="w" fact="0.9662"/>
              <dgm:constr type="t" for="ch" forName="Parent1" refType="h" fact="0.2022"/>
              <dgm:constr type="w" for="ch" forName="Parent1" refType="w" fact="0.0636"/>
              <dgm:constr type="h" for="ch" forName="Parent1" refType="h" fact="0.3799"/>
              <dgm:constr type="r" for="ch" forName="Accent10" refType="w" fact="0.0953"/>
              <dgm:constr type="t" for="ch" forName="Accent10" refType="h" fact="0.1072"/>
              <dgm:constr type="w" for="ch" forName="Accent10" refType="w" fact="0.0953"/>
              <dgm:constr type="h" for="ch" forName="Accent10" refType="h" fact="0.5699"/>
              <dgm:constr type="r" for="ch" forName="ParentBackground10" refType="w" fact="0.0922"/>
              <dgm:constr type="t" for="ch" forName="ParentBackground10" refType="h" fact="0.1262"/>
              <dgm:constr type="w" for="ch" forName="ParentBackground10" refType="w" fact="0.089"/>
              <dgm:constr type="h" for="ch" forName="ParentBackground10" refType="h" fact="0.5319"/>
              <dgm:constr type="r" for="ch" forName="Child10" refType="w" fact="0.0922"/>
              <dgm:constr type="t" for="ch" forName="Child10" refType="h" fact="0.6876"/>
              <dgm:constr type="w" for="ch" forName="Child10" refType="w" fact="0.089"/>
              <dgm:constr type="h" for="ch" forName="Child10" refType="h" fact="0.3124"/>
              <dgm:constr type="r" for="ch" forName="Accent9" refType="w" fact="0.2136"/>
              <dgm:constr type="t" for="ch" forName="Accent9" refType="h" fact="-0.0109"/>
              <dgm:constr type="w" for="ch" forName="Accent9" refType="w" fact="0.1348"/>
              <dgm:constr type="h" for="ch" forName="Accent9" refType="h" fact="0.806"/>
              <dgm:constr type="r" for="ch" forName="ParentBackground9" refType="w" fact="0.1907"/>
              <dgm:constr type="t" for="ch" forName="ParentBackground9" refType="h" fact="0.1262"/>
              <dgm:constr type="w" for="ch" forName="ParentBackground9" refType="w" fact="0.089"/>
              <dgm:constr type="h" for="ch" forName="ParentBackground9" refType="h" fact="0.5319"/>
              <dgm:constr type="r" for="ch" forName="Child9" refType="w" fact="0.1907"/>
              <dgm:constr type="t" for="ch" forName="Child9" refType="h" fact="0.6876"/>
              <dgm:constr type="w" for="ch" forName="Child9" refType="w" fact="0.089"/>
              <dgm:constr type="h" for="ch" forName="Child9" refType="h" fact="0.3124"/>
              <dgm:constr type="r" for="ch" forName="Accent8" refType="w" fact="0.3121"/>
              <dgm:constr type="t" for="ch" forName="Accent8" refType="h" fact="-0.0109"/>
              <dgm:constr type="w" for="ch" forName="Accent8" refType="w" fact="0.1348"/>
              <dgm:constr type="h" for="ch" forName="Accent8" refType="h" fact="0.806"/>
              <dgm:constr type="r" for="ch" forName="ParentBackground8" refType="w" fact="0.2892"/>
              <dgm:constr type="t" for="ch" forName="ParentBackground8" refType="h" fact="0.1262"/>
              <dgm:constr type="w" for="ch" forName="ParentBackground8" refType="w" fact="0.089"/>
              <dgm:constr type="h" for="ch" forName="ParentBackground8" refType="h" fact="0.5319"/>
              <dgm:constr type="r" for="ch" forName="Child8" refType="w" fact="0.2892"/>
              <dgm:constr type="t" for="ch" forName="Child8" refType="h" fact="0.6876"/>
              <dgm:constr type="w" for="ch" forName="Child8" refType="w" fact="0.089"/>
              <dgm:constr type="h" for="ch" forName="Child8" refType="h" fact="0.3124"/>
              <dgm:constr type="r" for="ch" forName="Accent7" refType="w" fact="0.4107"/>
              <dgm:constr type="t" for="ch" forName="Accent7" refType="h" fact="-0.0109"/>
              <dgm:constr type="w" for="ch" forName="Accent7" refType="w" fact="0.1348"/>
              <dgm:constr type="h" for="ch" forName="Accent7" refType="h" fact="0.806"/>
              <dgm:constr type="r" for="ch" forName="ParentBackground7" refType="w" fact="0.3877"/>
              <dgm:constr type="t" for="ch" forName="ParentBackground7" refType="h" fact="0.1262"/>
              <dgm:constr type="w" for="ch" forName="ParentBackground7" refType="w" fact="0.089"/>
              <dgm:constr type="h" for="ch" forName="ParentBackground7" refType="h" fact="0.5319"/>
              <dgm:constr type="r" for="ch" forName="Child7" refType="w" fact="0.3877"/>
              <dgm:constr type="t" for="ch" forName="Child7" refType="h" fact="0.6876"/>
              <dgm:constr type="w" for="ch" forName="Child7" refType="w" fact="0.089"/>
              <dgm:constr type="h" for="ch" forName="Child7" refType="h" fact="0.3124"/>
              <dgm:constr type="r" for="ch" forName="Accent6" refType="w" fact="0.5092"/>
              <dgm:constr type="t" for="ch" forName="Accent6" refType="h" fact="-0.0109"/>
              <dgm:constr type="w" for="ch" forName="Accent6" refType="w" fact="0.1348"/>
              <dgm:constr type="h" for="ch" forName="Accent6" refType="h" fact="0.806"/>
              <dgm:constr type="r" for="ch" forName="ParentBackground6" refType="w" fact="0.4863"/>
              <dgm:constr type="t" for="ch" forName="ParentBackground6" refType="h" fact="0.1262"/>
              <dgm:constr type="w" for="ch" forName="ParentBackground6" refType="w" fact="0.089"/>
              <dgm:constr type="h" for="ch" forName="ParentBackground6" refType="h" fact="0.5319"/>
              <dgm:constr type="r" for="ch" forName="Child6" refType="w" fact="0.4863"/>
              <dgm:constr type="t" for="ch" forName="Child6" refType="h" fact="0.6876"/>
              <dgm:constr type="w" for="ch" forName="Child6" refType="w" fact="0.089"/>
              <dgm:constr type="h" for="ch" forName="Child6" refType="h" fact="0.3124"/>
              <dgm:constr type="r" for="ch" forName="Accent5" refType="w" fact="0.6077"/>
              <dgm:constr type="t" for="ch" forName="Accent5" refType="h" fact="-0.0109"/>
              <dgm:constr type="w" for="ch" forName="Accent5" refType="w" fact="0.1348"/>
              <dgm:constr type="h" for="ch" forName="Accent5" refType="h" fact="0.806"/>
              <dgm:constr type="r" for="ch" forName="ParentBackground5" refType="w" fact="0.5848"/>
              <dgm:constr type="t" for="ch" forName="ParentBackground5" refType="h" fact="0.1262"/>
              <dgm:constr type="w" for="ch" forName="ParentBackground5" refType="w" fact="0.089"/>
              <dgm:constr type="h" for="ch" forName="ParentBackground5" refType="h" fact="0.5319"/>
              <dgm:constr type="r" for="ch" forName="Child5" refType="w" fact="0.5848"/>
              <dgm:constr type="t" for="ch" forName="Child5" refType="h" fact="0.6876"/>
              <dgm:constr type="w" for="ch" forName="Child5" refType="w" fact="0.089"/>
              <dgm:constr type="h" for="ch" forName="Child5" refType="h" fact="0.3124"/>
              <dgm:constr type="r" for="ch" forName="Accent4" refType="w" fact="0.7062"/>
              <dgm:constr type="t" for="ch" forName="Accent4" refType="h" fact="-0.0109"/>
              <dgm:constr type="w" for="ch" forName="Accent4" refType="w" fact="0.1348"/>
              <dgm:constr type="h" for="ch" forName="Accent4" refType="h" fact="0.806"/>
              <dgm:constr type="r" for="ch" forName="ParentBackground4" refType="w" fact="0.6833"/>
              <dgm:constr type="t" for="ch" forName="ParentBackground4" refType="h" fact="0.1262"/>
              <dgm:constr type="w" for="ch" forName="ParentBackground4" refType="w" fact="0.089"/>
              <dgm:constr type="h" for="ch" forName="ParentBackground4" refType="h" fact="0.5319"/>
              <dgm:constr type="r" for="ch" forName="Child4" refType="w" fact="0.6833"/>
              <dgm:constr type="t" for="ch" forName="Child4" refType="h" fact="0.6876"/>
              <dgm:constr type="w" for="ch" forName="Child4" refType="w" fact="0.089"/>
              <dgm:constr type="h" for="ch" forName="Child4" refType="h" fact="0.3124"/>
              <dgm:constr type="r" for="ch" forName="Accent3" refType="w" fact="0.8048"/>
              <dgm:constr type="t" for="ch" forName="Accent3" refType="h" fact="-0.0109"/>
              <dgm:constr type="w" for="ch" forName="Accent3" refType="w" fact="0.1348"/>
              <dgm:constr type="h" for="ch" forName="Accent3" refType="h" fact="0.806"/>
              <dgm:constr type="r" for="ch" forName="ParentBackground3" refType="w" fact="0.7818"/>
              <dgm:constr type="t" for="ch" forName="ParentBackground3" refType="h" fact="0.1262"/>
              <dgm:constr type="w" for="ch" forName="ParentBackground3" refType="w" fact="0.089"/>
              <dgm:constr type="h" for="ch" forName="ParentBackground3" refType="h" fact="0.5319"/>
              <dgm:constr type="r" for="ch" forName="Child3" refType="w" fact="0.7818"/>
              <dgm:constr type="t" for="ch" forName="Child3" refType="h" fact="0.6876"/>
              <dgm:constr type="w" for="ch" forName="Child3" refType="w" fact="0.089"/>
              <dgm:constr type="h" for="ch" forName="Child3" refType="h" fact="0.3124"/>
              <dgm:constr type="r" for="ch" forName="Accent2" refType="w" fact="0.9033"/>
              <dgm:constr type="t" for="ch" forName="Accent2" refType="h" fact="-0.0109"/>
              <dgm:constr type="w" for="ch" forName="Accent2" refType="w" fact="0.1348"/>
              <dgm:constr type="h" for="ch" forName="Accent2" refType="h" fact="0.806"/>
              <dgm:constr type="r" for="ch" forName="ParentBackground2" refType="w" fact="0.8804"/>
              <dgm:constr type="t" for="ch" forName="ParentBackground2" refType="h" fact="0.1262"/>
              <dgm:constr type="w" for="ch" forName="ParentBackground2" refType="w" fact="0.089"/>
              <dgm:constr type="h" for="ch" forName="ParentBackground2" refType="h" fact="0.5319"/>
              <dgm:constr type="r" for="ch" forName="Child2" refType="w" fact="0.8804"/>
              <dgm:constr type="t" for="ch" forName="Child2" refType="h" fact="0.6876"/>
              <dgm:constr type="w" for="ch" forName="Child2" refType="w" fact="0.089"/>
              <dgm:constr type="h" for="ch" forName="Child2" refType="h" fact="0.3124"/>
              <dgm:constr type="r" for="ch" forName="Accent1" refType="w" fact="1.0018"/>
              <dgm:constr type="t" for="ch" forName="Accent1" refType="h" fact="-0.0109"/>
              <dgm:constr type="w" for="ch" forName="Accent1" refType="w" fact="0.1348"/>
              <dgm:constr type="h" for="ch" forName="Accent1" refType="h" fact="0.806"/>
              <dgm:constr type="r" for="ch" forName="ParentBackground1" refType="w" fact="0.9789"/>
              <dgm:constr type="t" for="ch" forName="ParentBackground1" refType="h" fact="0.1262"/>
              <dgm:constr type="w" for="ch" forName="ParentBackground1" refType="w" fact="0.089"/>
              <dgm:constr type="h" for="ch" forName="ParentBackground1" refType="h" fact="0.5319"/>
              <dgm:constr type="r" for="ch" forName="Child1" refType="w" fact="0.9789"/>
              <dgm:constr type="t" for="ch" forName="Child1" refType="h" fact="0.6876"/>
              <dgm:constr type="w" for="ch" forName="Child1" refType="w" fact="0.089"/>
              <dgm:constr type="h" for="ch" forName="Child1" refType="h" fact="0.3124"/>
            </dgm:constrLst>
          </dgm:if>
          <dgm:else name="Name27">
            <dgm:alg type="composite">
              <dgm:param type="ar" val="6.5658"/>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8" refType="primFontSz" refFor="des" refForName="Parent1" op="lte"/>
              <dgm:constr type="primFontSz" for="des" forName="Child9" refType="primFontSz" refFor="des" refForName="Parent1" op="lte"/>
              <dgm:constr type="primFontSz" for="des" forName="Child10" refType="primFontSz" refFor="des" refForName="Parent1" op="lte"/>
              <dgm:constr type="primFontSz" for="des" forName="Child11"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8" refType="primFontSz" refFor="des" refForName="Parent2" op="lte"/>
              <dgm:constr type="primFontSz" for="des" forName="Child9" refType="primFontSz" refFor="des" refForName="Parent2" op="lte"/>
              <dgm:constr type="primFontSz" for="des" forName="Child10" refType="primFontSz" refFor="des" refForName="Parent2" op="lte"/>
              <dgm:constr type="primFontSz" for="des" forName="Child11"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8" refType="primFontSz" refFor="des" refForName="Parent3" op="lte"/>
              <dgm:constr type="primFontSz" for="des" forName="Child9" refType="primFontSz" refFor="des" refForName="Parent3" op="lte"/>
              <dgm:constr type="primFontSz" for="des" forName="Child10" refType="primFontSz" refFor="des" refForName="Parent3" op="lte"/>
              <dgm:constr type="primFontSz" for="des" forName="Child11"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8" refType="primFontSz" refFor="des" refForName="Parent4" op="lte"/>
              <dgm:constr type="primFontSz" for="des" forName="Child9" refType="primFontSz" refFor="des" refForName="Parent4" op="lte"/>
              <dgm:constr type="primFontSz" for="des" forName="Child10" refType="primFontSz" refFor="des" refForName="Parent4" op="lte"/>
              <dgm:constr type="primFontSz" for="des" forName="Child11"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8" refType="primFontSz" refFor="des" refForName="Parent5" op="lte"/>
              <dgm:constr type="primFontSz" for="des" forName="Child9" refType="primFontSz" refFor="des" refForName="Parent5" op="lte"/>
              <dgm:constr type="primFontSz" for="des" forName="Child10" refType="primFontSz" refFor="des" refForName="Parent5" op="lte"/>
              <dgm:constr type="primFontSz" for="des" forName="Child11"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8" refType="primFontSz" refFor="des" refForName="Parent6" op="lte"/>
              <dgm:constr type="primFontSz" for="des" forName="Child9" refType="primFontSz" refFor="des" refForName="Parent6" op="lte"/>
              <dgm:constr type="primFontSz" for="des" forName="Child10" refType="primFontSz" refFor="des" refForName="Parent6" op="lte"/>
              <dgm:constr type="primFontSz" for="des" forName="Child11"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Child8" refType="primFontSz" refFor="des" refForName="Parent7" op="lte"/>
              <dgm:constr type="primFontSz" for="des" forName="Child9" refType="primFontSz" refFor="des" refForName="Parent7" op="lte"/>
              <dgm:constr type="primFontSz" for="des" forName="Child10" refType="primFontSz" refFor="des" refForName="Parent7" op="lte"/>
              <dgm:constr type="primFontSz" for="des" forName="Child11" refType="primFontSz" refFor="des" refForName="Parent7" op="lte"/>
              <dgm:constr type="primFontSz" for="des" forName="Child1" refType="primFontSz" refFor="des" refForName="Parent8" op="lte"/>
              <dgm:constr type="primFontSz" for="des" forName="Child2" refType="primFontSz" refFor="des" refForName="Parent8" op="lte"/>
              <dgm:constr type="primFontSz" for="des" forName="Child3" refType="primFontSz" refFor="des" refForName="Parent8" op="lte"/>
              <dgm:constr type="primFontSz" for="des" forName="Child4" refType="primFontSz" refFor="des" refForName="Parent8" op="lte"/>
              <dgm:constr type="primFontSz" for="des" forName="Child5" refType="primFontSz" refFor="des" refForName="Parent8" op="lte"/>
              <dgm:constr type="primFontSz" for="des" forName="Child6" refType="primFontSz" refFor="des" refForName="Parent8" op="lte"/>
              <dgm:constr type="primFontSz" for="des" forName="Child7" refType="primFontSz" refFor="des" refForName="Parent8" op="lte"/>
              <dgm:constr type="primFontSz" for="des" forName="Child8" refType="primFontSz" refFor="des" refForName="Parent8" op="lte"/>
              <dgm:constr type="primFontSz" for="des" forName="Child9" refType="primFontSz" refFor="des" refForName="Parent8" op="lte"/>
              <dgm:constr type="primFontSz" for="des" forName="Child10" refType="primFontSz" refFor="des" refForName="Parent8" op="lte"/>
              <dgm:constr type="primFontSz" for="des" forName="Child11" refType="primFontSz" refFor="des" refForName="Parent8" op="lte"/>
              <dgm:constr type="primFontSz" for="des" forName="Child1" refType="primFontSz" refFor="des" refForName="Parent9" op="lte"/>
              <dgm:constr type="primFontSz" for="des" forName="Child2" refType="primFontSz" refFor="des" refForName="Parent9" op="lte"/>
              <dgm:constr type="primFontSz" for="des" forName="Child3" refType="primFontSz" refFor="des" refForName="Parent9" op="lte"/>
              <dgm:constr type="primFontSz" for="des" forName="Child4" refType="primFontSz" refFor="des" refForName="Parent9" op="lte"/>
              <dgm:constr type="primFontSz" for="des" forName="Child5" refType="primFontSz" refFor="des" refForName="Parent9" op="lte"/>
              <dgm:constr type="primFontSz" for="des" forName="Child6" refType="primFontSz" refFor="des" refForName="Parent9" op="lte"/>
              <dgm:constr type="primFontSz" for="des" forName="Child7" refType="primFontSz" refFor="des" refForName="Parent9" op="lte"/>
              <dgm:constr type="primFontSz" for="des" forName="Child8" refType="primFontSz" refFor="des" refForName="Parent9" op="lte"/>
              <dgm:constr type="primFontSz" for="des" forName="Child9" refType="primFontSz" refFor="des" refForName="Parent9" op="lte"/>
              <dgm:constr type="primFontSz" for="des" forName="Child10" refType="primFontSz" refFor="des" refForName="Parent9" op="lte"/>
              <dgm:constr type="primFontSz" for="des" forName="Child11" refType="primFontSz" refFor="des" refForName="Parent9" op="lte"/>
              <dgm:constr type="primFontSz" for="des" forName="Child1" refType="primFontSz" refFor="des" refForName="Parent10" op="lte"/>
              <dgm:constr type="primFontSz" for="des" forName="Child2" refType="primFontSz" refFor="des" refForName="Parent10" op="lte"/>
              <dgm:constr type="primFontSz" for="des" forName="Child3" refType="primFontSz" refFor="des" refForName="Parent10" op="lte"/>
              <dgm:constr type="primFontSz" for="des" forName="Child4" refType="primFontSz" refFor="des" refForName="Parent10" op="lte"/>
              <dgm:constr type="primFontSz" for="des" forName="Child5" refType="primFontSz" refFor="des" refForName="Parent10" op="lte"/>
              <dgm:constr type="primFontSz" for="des" forName="Child6" refType="primFontSz" refFor="des" refForName="Parent10" op="lte"/>
              <dgm:constr type="primFontSz" for="des" forName="Child7" refType="primFontSz" refFor="des" refForName="Parent10" op="lte"/>
              <dgm:constr type="primFontSz" for="des" forName="Child8" refType="primFontSz" refFor="des" refForName="Parent10" op="lte"/>
              <dgm:constr type="primFontSz" for="des" forName="Child9" refType="primFontSz" refFor="des" refForName="Parent10" op="lte"/>
              <dgm:constr type="primFontSz" for="des" forName="Child10" refType="primFontSz" refFor="des" refForName="Parent10" op="lte"/>
              <dgm:constr type="primFontSz" for="des" forName="Child11" refType="primFontSz" refFor="des" refForName="Parent10" op="lte"/>
              <dgm:constr type="primFontSz" for="des" forName="Child1" refType="primFontSz" refFor="des" refForName="Parent11" op="lte"/>
              <dgm:constr type="primFontSz" for="des" forName="Child2" refType="primFontSz" refFor="des" refForName="Parent11" op="lte"/>
              <dgm:constr type="primFontSz" for="des" forName="Child3" refType="primFontSz" refFor="des" refForName="Parent11" op="lte"/>
              <dgm:constr type="primFontSz" for="des" forName="Child4" refType="primFontSz" refFor="des" refForName="Parent11" op="lte"/>
              <dgm:constr type="primFontSz" for="des" forName="Child5" refType="primFontSz" refFor="des" refForName="Parent11" op="lte"/>
              <dgm:constr type="primFontSz" for="des" forName="Child6" refType="primFontSz" refFor="des" refForName="Parent11" op="lte"/>
              <dgm:constr type="primFontSz" for="des" forName="Child7" refType="primFontSz" refFor="des" refForName="Parent11" op="lte"/>
              <dgm:constr type="primFontSz" for="des" forName="Child8" refType="primFontSz" refFor="des" refForName="Parent11" op="lte"/>
              <dgm:constr type="primFontSz" for="des" forName="Child9" refType="primFontSz" refFor="des" refForName="Parent11" op="lte"/>
              <dgm:constr type="primFontSz" for="des" forName="Child10" refType="primFontSz" refFor="des" refForName="Parent11" op="lte"/>
              <dgm:constr type="primFontSz" for="des" forName="Child11" refType="primFontSz" refFor="des" refForName="Parent11"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Parent8" refType="primFontSz" refFor="des" refForName="Parent1" op="equ"/>
              <dgm:constr type="primFontSz" for="des" forName="Parent9" refType="primFontSz" refFor="des" refForName="Parent1" op="equ"/>
              <dgm:constr type="primFontSz" for="des" forName="Parent10" refType="primFontSz" refFor="des" refForName="Parent1" op="equ"/>
              <dgm:constr type="primFontSz" for="des" forName="Parent11"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primFontSz" for="des" forName="Child8" refType="primFontSz" refFor="des" refForName="Child1" op="equ"/>
              <dgm:constr type="primFontSz" for="des" forName="Child9" refType="primFontSz" refFor="des" refForName="Child1" op="equ"/>
              <dgm:constr type="primFontSz" for="des" forName="Child10" refType="primFontSz" refFor="des" refForName="Child1" op="equ"/>
              <dgm:constr type="primFontSz" for="des" forName="Child11" refType="primFontSz" refFor="des" refForName="Child1" op="equ"/>
              <dgm:constr type="r" for="ch" forName="Parent11" refType="w" fact="0.0723"/>
              <dgm:constr type="t" for="ch" forName="Parent11" refType="h" fact="0.2022"/>
              <dgm:constr type="w" for="ch" forName="Parent11" refType="w" fact="0.0579"/>
              <dgm:constr type="h" for="ch" forName="Parent11" refType="h" fact="0.3799"/>
              <dgm:constr type="r" for="ch" forName="Parent10" refType="w" fact="0.162"/>
              <dgm:constr type="t" for="ch" forName="Parent10" refType="h" fact="0.2022"/>
              <dgm:constr type="w" for="ch" forName="Parent10" refType="w" fact="0.0579"/>
              <dgm:constr type="h" for="ch" forName="Parent10" refType="h" fact="0.3799"/>
              <dgm:constr type="r" for="ch" forName="Parent9" refType="w" fact="0.2517"/>
              <dgm:constr type="t" for="ch" forName="Parent9" refType="h" fact="0.2022"/>
              <dgm:constr type="w" for="ch" forName="Parent9" refType="w" fact="0.0579"/>
              <dgm:constr type="h" for="ch" forName="Parent9" refType="h" fact="0.3799"/>
              <dgm:constr type="r" for="ch" forName="Parent8" refType="w" fact="0.3414"/>
              <dgm:constr type="t" for="ch" forName="Parent8" refType="h" fact="0.2022"/>
              <dgm:constr type="w" for="ch" forName="Parent8" refType="w" fact="0.0579"/>
              <dgm:constr type="h" for="ch" forName="Parent8" refType="h" fact="0.3799"/>
              <dgm:constr type="r" for="ch" forName="Parent7" refType="w" fact="0.4311"/>
              <dgm:constr type="t" for="ch" forName="Parent7" refType="h" fact="0.2022"/>
              <dgm:constr type="w" for="ch" forName="Parent7" refType="w" fact="0.0579"/>
              <dgm:constr type="h" for="ch" forName="Parent7" refType="h" fact="0.3799"/>
              <dgm:constr type="r" for="ch" forName="Parent6" refType="w" fact="0.5208"/>
              <dgm:constr type="t" for="ch" forName="Parent6" refType="h" fact="0.2022"/>
              <dgm:constr type="w" for="ch" forName="Parent6" refType="w" fact="0.0579"/>
              <dgm:constr type="h" for="ch" forName="Parent6" refType="h" fact="0.3799"/>
              <dgm:constr type="r" for="ch" forName="Parent5" refType="w" fact="0.6105"/>
              <dgm:constr type="t" for="ch" forName="Parent5" refType="h" fact="0.2022"/>
              <dgm:constr type="w" for="ch" forName="Parent5" refType="w" fact="0.0579"/>
              <dgm:constr type="h" for="ch" forName="Parent5" refType="h" fact="0.3799"/>
              <dgm:constr type="r" for="ch" forName="Parent4" refType="w" fact="0.7001"/>
              <dgm:constr type="t" for="ch" forName="Parent4" refType="h" fact="0.2022"/>
              <dgm:constr type="w" for="ch" forName="Parent4" refType="w" fact="0.0579"/>
              <dgm:constr type="h" for="ch" forName="Parent4" refType="h" fact="0.3799"/>
              <dgm:constr type="r" for="ch" forName="Parent3" refType="w" fact="0.7898"/>
              <dgm:constr type="t" for="ch" forName="Parent3" refType="h" fact="0.2022"/>
              <dgm:constr type="w" for="ch" forName="Parent3" refType="w" fact="0.0579"/>
              <dgm:constr type="h" for="ch" forName="Parent3" refType="h" fact="0.3799"/>
              <dgm:constr type="r" for="ch" forName="Parent2" refType="w" fact="0.8795"/>
              <dgm:constr type="t" for="ch" forName="Parent2" refType="h" fact="0.2022"/>
              <dgm:constr type="w" for="ch" forName="Parent2" refType="w" fact="0.0579"/>
              <dgm:constr type="h" for="ch" forName="Parent2" refType="h" fact="0.3799"/>
              <dgm:constr type="r" for="ch" forName="Parent1" refType="w" fact="0.9692"/>
              <dgm:constr type="t" for="ch" forName="Parent1" refType="h" fact="0.2022"/>
              <dgm:constr type="w" for="ch" forName="Parent1" refType="w" fact="0.0579"/>
              <dgm:constr type="h" for="ch" forName="Parent1" refType="h" fact="0.3799"/>
              <dgm:constr type="r" for="ch" forName="Accent11" refType="w" fact="0.0868"/>
              <dgm:constr type="t" for="ch" forName="Accent11" refType="h" fact="0.1072"/>
              <dgm:constr type="w" for="ch" forName="Accent11" refType="w" fact="0.0868"/>
              <dgm:constr type="h" for="ch" forName="Accent11" refType="h" fact="0.5699"/>
              <dgm:constr type="r" for="ch" forName="ParentBackground11" refType="w" fact="0.0839"/>
              <dgm:constr type="t" for="ch" forName="ParentBackground11" refType="h" fact="0.1262"/>
              <dgm:constr type="w" for="ch" forName="ParentBackground11" refType="w" fact="0.081"/>
              <dgm:constr type="h" for="ch" forName="ParentBackground11" refType="h" fact="0.5319"/>
              <dgm:constr type="r" for="ch" forName="Child11" refType="w" fact="0.0839"/>
              <dgm:constr type="t" for="ch" forName="Child11" refType="h" fact="0.6876"/>
              <dgm:constr type="w" for="ch" forName="Child11" refType="w" fact="0.081"/>
              <dgm:constr type="h" for="ch" forName="Child11" refType="h" fact="0.3124"/>
              <dgm:constr type="r" for="ch" forName="Accent10" refType="w" fact="0.1945"/>
              <dgm:constr type="t" for="ch" forName="Accent10" refType="h" fact="-0.0109"/>
              <dgm:constr type="w" for="ch" forName="Accent10" refType="w" fact="0.1228"/>
              <dgm:constr type="h" for="ch" forName="Accent10" refType="h" fact="0.806"/>
              <dgm:constr type="r" for="ch" forName="ParentBackground10" refType="w" fact="0.1736"/>
              <dgm:constr type="t" for="ch" forName="ParentBackground10" refType="h" fact="0.1262"/>
              <dgm:constr type="w" for="ch" forName="ParentBackground10" refType="w" fact="0.081"/>
              <dgm:constr type="h" for="ch" forName="ParentBackground10" refType="h" fact="0.5319"/>
              <dgm:constr type="r" for="ch" forName="Child10" refType="w" fact="0.1736"/>
              <dgm:constr type="t" for="ch" forName="Child10" refType="h" fact="0.6876"/>
              <dgm:constr type="w" for="ch" forName="Child10" refType="w" fact="0.081"/>
              <dgm:constr type="h" for="ch" forName="Child10" refType="h" fact="0.3124"/>
              <dgm:constr type="r" for="ch" forName="Accent9" refType="w" fact="0.2842"/>
              <dgm:constr type="t" for="ch" forName="Accent9" refType="h" fact="-0.0109"/>
              <dgm:constr type="w" for="ch" forName="Accent9" refType="w" fact="0.1228"/>
              <dgm:constr type="h" for="ch" forName="Accent9" refType="h" fact="0.806"/>
              <dgm:constr type="r" for="ch" forName="ParentBackground9" refType="w" fact="0.2633"/>
              <dgm:constr type="t" for="ch" forName="ParentBackground9" refType="h" fact="0.1262"/>
              <dgm:constr type="w" for="ch" forName="ParentBackground9" refType="w" fact="0.081"/>
              <dgm:constr type="h" for="ch" forName="ParentBackground9" refType="h" fact="0.5319"/>
              <dgm:constr type="r" for="ch" forName="Child9" refType="w" fact="0.2633"/>
              <dgm:constr type="t" for="ch" forName="Child9" refType="h" fact="0.6876"/>
              <dgm:constr type="w" for="ch" forName="Child9" refType="w" fact="0.081"/>
              <dgm:constr type="h" for="ch" forName="Child9" refType="h" fact="0.3124"/>
              <dgm:constr type="r" for="ch" forName="Accent8" refType="w" fact="0.3739"/>
              <dgm:constr type="t" for="ch" forName="Accent8" refType="h" fact="-0.0109"/>
              <dgm:constr type="w" for="ch" forName="Accent8" refType="w" fact="0.1228"/>
              <dgm:constr type="h" for="ch" forName="Accent8" refType="h" fact="0.806"/>
              <dgm:constr type="r" for="ch" forName="ParentBackground8" refType="w" fact="0.353"/>
              <dgm:constr type="t" for="ch" forName="ParentBackground8" refType="h" fact="0.1262"/>
              <dgm:constr type="w" for="ch" forName="ParentBackground8" refType="w" fact="0.081"/>
              <dgm:constr type="h" for="ch" forName="ParentBackground8" refType="h" fact="0.5319"/>
              <dgm:constr type="r" for="ch" forName="Child8" refType="w" fact="0.353"/>
              <dgm:constr type="t" for="ch" forName="Child8" refType="h" fact="0.6876"/>
              <dgm:constr type="w" for="ch" forName="Child8" refType="w" fact="0.081"/>
              <dgm:constr type="h" for="ch" forName="Child8" refType="h" fact="0.3124"/>
              <dgm:constr type="r" for="ch" forName="Accent7" refType="w" fact="0.4636"/>
              <dgm:constr type="t" for="ch" forName="Accent7" refType="h" fact="-0.0109"/>
              <dgm:constr type="w" for="ch" forName="Accent7" refType="w" fact="0.1228"/>
              <dgm:constr type="h" for="ch" forName="Accent7" refType="h" fact="0.806"/>
              <dgm:constr type="r" for="ch" forName="ParentBackground7" refType="w" fact="0.4427"/>
              <dgm:constr type="t" for="ch" forName="ParentBackground7" refType="h" fact="0.1262"/>
              <dgm:constr type="w" for="ch" forName="ParentBackground7" refType="w" fact="0.081"/>
              <dgm:constr type="h" for="ch" forName="ParentBackground7" refType="h" fact="0.5319"/>
              <dgm:constr type="r" for="ch" forName="Child7" refType="w" fact="0.4427"/>
              <dgm:constr type="t" for="ch" forName="Child7" refType="h" fact="0.6876"/>
              <dgm:constr type="w" for="ch" forName="Child7" refType="w" fact="0.081"/>
              <dgm:constr type="h" for="ch" forName="Child7" refType="h" fact="0.3124"/>
              <dgm:constr type="r" for="ch" forName="Accent6" refType="w" fact="0.5533"/>
              <dgm:constr type="t" for="ch" forName="Accent6" refType="h" fact="-0.0109"/>
              <dgm:constr type="w" for="ch" forName="Accent6" refType="w" fact="0.1228"/>
              <dgm:constr type="h" for="ch" forName="Accent6" refType="h" fact="0.806"/>
              <dgm:constr type="r" for="ch" forName="ParentBackground6" refType="w" fact="0.5323"/>
              <dgm:constr type="t" for="ch" forName="ParentBackground6" refType="h" fact="0.1262"/>
              <dgm:constr type="w" for="ch" forName="ParentBackground6" refType="w" fact="0.081"/>
              <dgm:constr type="h" for="ch" forName="ParentBackground6" refType="h" fact="0.5319"/>
              <dgm:constr type="r" for="ch" forName="Child6" refType="w" fact="0.5323"/>
              <dgm:constr type="t" for="ch" forName="Child6" refType="h" fact="0.6876"/>
              <dgm:constr type="w" for="ch" forName="Child6" refType="w" fact="0.081"/>
              <dgm:constr type="h" for="ch" forName="Child6" refType="h" fact="0.3124"/>
              <dgm:constr type="r" for="ch" forName="Accent5" refType="w" fact="0.6429"/>
              <dgm:constr type="t" for="ch" forName="Accent5" refType="h" fact="-0.0109"/>
              <dgm:constr type="w" for="ch" forName="Accent5" refType="w" fact="0.1228"/>
              <dgm:constr type="h" for="ch" forName="Accent5" refType="h" fact="0.806"/>
              <dgm:constr type="r" for="ch" forName="ParentBackground5" refType="w" fact="0.622"/>
              <dgm:constr type="t" for="ch" forName="ParentBackground5" refType="h" fact="0.1262"/>
              <dgm:constr type="w" for="ch" forName="ParentBackground5" refType="w" fact="0.081"/>
              <dgm:constr type="h" for="ch" forName="ParentBackground5" refType="h" fact="0.5319"/>
              <dgm:constr type="r" for="ch" forName="Child5" refType="w" fact="0.622"/>
              <dgm:constr type="t" for="ch" forName="Child5" refType="h" fact="0.6876"/>
              <dgm:constr type="w" for="ch" forName="Child5" refType="w" fact="0.081"/>
              <dgm:constr type="h" for="ch" forName="Child5" refType="h" fact="0.3124"/>
              <dgm:constr type="r" for="ch" forName="Accent4" refType="w" fact="0.7326"/>
              <dgm:constr type="t" for="ch" forName="Accent4" refType="h" fact="-0.0109"/>
              <dgm:constr type="w" for="ch" forName="Accent4" refType="w" fact="0.1228"/>
              <dgm:constr type="h" for="ch" forName="Accent4" refType="h" fact="0.806"/>
              <dgm:constr type="r" for="ch" forName="ParentBackground4" refType="w" fact="0.7117"/>
              <dgm:constr type="t" for="ch" forName="ParentBackground4" refType="h" fact="0.1262"/>
              <dgm:constr type="w" for="ch" forName="ParentBackground4" refType="w" fact="0.081"/>
              <dgm:constr type="h" for="ch" forName="ParentBackground4" refType="h" fact="0.5319"/>
              <dgm:constr type="r" for="ch" forName="Child4" refType="w" fact="0.7117"/>
              <dgm:constr type="t" for="ch" forName="Child4" refType="h" fact="0.6876"/>
              <dgm:constr type="w" for="ch" forName="Child4" refType="w" fact="0.081"/>
              <dgm:constr type="h" for="ch" forName="Child4" refType="h" fact="0.3124"/>
              <dgm:constr type="r" for="ch" forName="Accent3" refType="w" fact="0.8223"/>
              <dgm:constr type="t" for="ch" forName="Accent3" refType="h" fact="-0.0109"/>
              <dgm:constr type="w" for="ch" forName="Accent3" refType="w" fact="0.1228"/>
              <dgm:constr type="h" for="ch" forName="Accent3" refType="h" fact="0.806"/>
              <dgm:constr type="r" for="ch" forName="ParentBackground3" refType="w" fact="0.8014"/>
              <dgm:constr type="t" for="ch" forName="ParentBackground3" refType="h" fact="0.1262"/>
              <dgm:constr type="w" for="ch" forName="ParentBackground3" refType="w" fact="0.081"/>
              <dgm:constr type="h" for="ch" forName="ParentBackground3" refType="h" fact="0.5319"/>
              <dgm:constr type="r" for="ch" forName="Child3" refType="w" fact="0.8014"/>
              <dgm:constr type="t" for="ch" forName="Child3" refType="h" fact="0.6876"/>
              <dgm:constr type="w" for="ch" forName="Child3" refType="w" fact="0.081"/>
              <dgm:constr type="h" for="ch" forName="Child3" refType="h" fact="0.3124"/>
              <dgm:constr type="r" for="ch" forName="Accent2" refType="w" fact="0.912"/>
              <dgm:constr type="t" for="ch" forName="Accent2" refType="h" fact="-0.0109"/>
              <dgm:constr type="w" for="ch" forName="Accent2" refType="w" fact="0.1228"/>
              <dgm:constr type="h" for="ch" forName="Accent2" refType="h" fact="0.806"/>
              <dgm:constr type="r" for="ch" forName="ParentBackground2" refType="w" fact="0.8911"/>
              <dgm:constr type="t" for="ch" forName="ParentBackground2" refType="h" fact="0.1262"/>
              <dgm:constr type="w" for="ch" forName="ParentBackground2" refType="w" fact="0.081"/>
              <dgm:constr type="h" for="ch" forName="ParentBackground2" refType="h" fact="0.5319"/>
              <dgm:constr type="r" for="ch" forName="Child2" refType="w" fact="0.8911"/>
              <dgm:constr type="t" for="ch" forName="Child2" refType="h" fact="0.6876"/>
              <dgm:constr type="w" for="ch" forName="Child2" refType="w" fact="0.081"/>
              <dgm:constr type="h" for="ch" forName="Child2" refType="h" fact="0.3124"/>
              <dgm:constr type="r" for="ch" forName="Accent1" refType="w" fact="1.0017"/>
              <dgm:constr type="t" for="ch" forName="Accent1" refType="h" fact="-0.0109"/>
              <dgm:constr type="w" for="ch" forName="Accent1" refType="w" fact="0.1228"/>
              <dgm:constr type="h" for="ch" forName="Accent1" refType="h" fact="0.806"/>
              <dgm:constr type="r" for="ch" forName="ParentBackground1" refType="w" fact="0.9808"/>
              <dgm:constr type="t" for="ch" forName="ParentBackground1" refType="h" fact="0.1262"/>
              <dgm:constr type="w" for="ch" forName="ParentBackground1" refType="w" fact="0.081"/>
              <dgm:constr type="h" for="ch" forName="ParentBackground1" refType="h" fact="0.5319"/>
              <dgm:constr type="r" for="ch" forName="Child1" refType="w" fact="0.9808"/>
              <dgm:constr type="t" for="ch" forName="Child1" refType="h" fact="0.6876"/>
              <dgm:constr type="w" for="ch" forName="Child1" refType="w" fact="0.081"/>
              <dgm:constr type="h" for="ch" forName="Child1" refType="h" fact="0.3124"/>
            </dgm:constrLst>
          </dgm:else>
        </dgm:choose>
      </dgm:else>
    </dgm:choose>
    <dgm:forEach name="wrapper" axis="self" ptType="parTrans">
      <dgm:forEach name="accentRepeat" axis="self">
        <dgm:layoutNode name="Accent" styleLbl="node1">
          <dgm:alg type="sp"/>
          <dgm:choose name="Name28">
            <dgm:if name="Name29" axis="followSib" ptType="node" func="cnt" op="equ" val="0">
              <dgm:shape xmlns:r="http://schemas.openxmlformats.org/officeDocument/2006/relationships" type="ellipse" r:blip="">
                <dgm:adjLst/>
              </dgm:shape>
            </dgm:if>
            <dgm:else name="Name30">
              <dgm:choose name="Name31">
                <dgm:if name="Name32" axis="precedSib" ptType="node" func="cnt" op="equ" val="10">
                  <dgm:shape xmlns:r="http://schemas.openxmlformats.org/officeDocument/2006/relationships" type="ellipse" r:blip="">
                    <dgm:adjLst/>
                  </dgm:shape>
                </dgm:if>
                <dgm:else name="Name33">
                  <dgm:choose name="Name34">
                    <dgm:if name="Name35" func="var" arg="dir" op="equ" val="norm">
                      <dgm:shape xmlns:r="http://schemas.openxmlformats.org/officeDocument/2006/relationships" rot="45" type="teardrop" r:blip="">
                        <dgm:adjLst>
                          <dgm:adj idx="1" val="1"/>
                        </dgm:adjLst>
                      </dgm:shape>
                    </dgm:if>
                    <dgm:else name="Name36">
                      <dgm:shape xmlns:r="http://schemas.openxmlformats.org/officeDocument/2006/relationships" rot="225" type="teardrop" r:blip="">
                        <dgm:adjLst>
                          <dgm:adj idx="1" val="1"/>
                        </dgm:adjLst>
                      </dgm:shape>
                    </dgm:else>
                  </dgm:choose>
                </dgm:else>
              </dgm:choose>
            </dgm:else>
          </dgm:choose>
          <dgm:presOf/>
        </dgm:layoutNode>
      </dgm:forEach>
      <dgm:forEach name="parentBackgroundRepeat" axis="self">
        <dgm:layoutNode name="ParentBackground" styleLbl="fgAcc1">
          <dgm:alg type="sp"/>
          <dgm:shape xmlns:r="http://schemas.openxmlformats.org/officeDocument/2006/relationships" type="ellipse" r:blip="">
            <dgm:adjLst/>
          </dgm:shape>
          <dgm:presOf axis="self" ptType="node"/>
        </dgm:layoutNode>
      </dgm:forEach>
    </dgm:forEach>
    <dgm:forEach name="Name37" axis="ch" ptType="node" st="11" cnt="1">
      <dgm:layoutNode name="Accent11">
        <dgm:alg type="sp"/>
        <dgm:shape xmlns:r="http://schemas.openxmlformats.org/officeDocument/2006/relationships" r:blip="">
          <dgm:adjLst/>
        </dgm:shape>
        <dgm:presOf/>
        <dgm:constrLst/>
        <dgm:forEach name="Name38" ref="accentRepeat"/>
      </dgm:layoutNode>
      <dgm:layoutNode name="ParentBackground11">
        <dgm:alg type="sp"/>
        <dgm:shape xmlns:r="http://schemas.openxmlformats.org/officeDocument/2006/relationships" r:blip="">
          <dgm:adjLst/>
        </dgm:shape>
        <dgm:presOf/>
        <dgm:forEach name="Name39" ref="parentBackgroundRepeat"/>
      </dgm:layoutNode>
      <dgm:choose name="Name40">
        <dgm:if name="Name41" axis="ch" ptType="node" func="cnt" op="gte" val="1">
          <dgm:layoutNode name="Child1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2"/>
      </dgm:choose>
      <dgm:layoutNode name="Parent1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3" axis="ch" ptType="node" st="10" cnt="1">
      <dgm:layoutNode name="Accent10">
        <dgm:alg type="sp"/>
        <dgm:shape xmlns:r="http://schemas.openxmlformats.org/officeDocument/2006/relationships" r:blip="">
          <dgm:adjLst/>
        </dgm:shape>
        <dgm:presOf/>
        <dgm:constrLst/>
        <dgm:forEach name="Name44" ref="accentRepeat"/>
      </dgm:layoutNode>
      <dgm:layoutNode name="ParentBackground10">
        <dgm:alg type="sp"/>
        <dgm:shape xmlns:r="http://schemas.openxmlformats.org/officeDocument/2006/relationships" r:blip="">
          <dgm:adjLst/>
        </dgm:shape>
        <dgm:presOf/>
        <dgm:forEach name="Name45" ref="parentBackgroundRepeat"/>
      </dgm:layoutNode>
      <dgm:choose name="Name46">
        <dgm:if name="Name47" axis="ch" ptType="node" func="cnt" op="gte" val="1">
          <dgm:layoutNode name="Child10"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48"/>
      </dgm:choose>
      <dgm:layoutNode name="Parent10"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49" axis="ch" ptType="node" st="9" cnt="1">
      <dgm:layoutNode name="Accent9">
        <dgm:alg type="sp"/>
        <dgm:shape xmlns:r="http://schemas.openxmlformats.org/officeDocument/2006/relationships" r:blip="">
          <dgm:adjLst/>
        </dgm:shape>
        <dgm:presOf/>
        <dgm:constrLst/>
        <dgm:forEach name="Name50" ref="accentRepeat"/>
      </dgm:layoutNode>
      <dgm:layoutNode name="ParentBackground9">
        <dgm:alg type="sp"/>
        <dgm:shape xmlns:r="http://schemas.openxmlformats.org/officeDocument/2006/relationships" r:blip="">
          <dgm:adjLst/>
        </dgm:shape>
        <dgm:presOf/>
        <dgm:forEach name="Name51" ref="parentBackgroundRepeat"/>
      </dgm:layoutNode>
      <dgm:choose name="Name52">
        <dgm:if name="Name53" axis="ch" ptType="node" func="cnt" op="gte" val="1">
          <dgm:layoutNode name="Child9"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54"/>
      </dgm:choose>
      <dgm:layoutNode name="Parent9"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55" axis="ch" ptType="node" st="8" cnt="1">
      <dgm:layoutNode name="Accent8">
        <dgm:alg type="sp"/>
        <dgm:shape xmlns:r="http://schemas.openxmlformats.org/officeDocument/2006/relationships" r:blip="">
          <dgm:adjLst/>
        </dgm:shape>
        <dgm:presOf/>
        <dgm:constrLst/>
        <dgm:forEach name="Name56" ref="accentRepeat"/>
      </dgm:layoutNode>
      <dgm:layoutNode name="ParentBackground8">
        <dgm:alg type="sp"/>
        <dgm:shape xmlns:r="http://schemas.openxmlformats.org/officeDocument/2006/relationships" r:blip="">
          <dgm:adjLst/>
        </dgm:shape>
        <dgm:presOf/>
        <dgm:forEach name="Name57" ref="parentBackgroundRepeat"/>
      </dgm:layoutNode>
      <dgm:choose name="Name58">
        <dgm:if name="Name59" axis="ch" ptType="node" func="cnt" op="gte" val="1">
          <dgm:layoutNode name="Child8"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0"/>
      </dgm:choose>
      <dgm:layoutNode name="Parent8"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1" axis="ch" ptType="node" st="7" cnt="1">
      <dgm:layoutNode name="Accent7">
        <dgm:alg type="sp"/>
        <dgm:shape xmlns:r="http://schemas.openxmlformats.org/officeDocument/2006/relationships" r:blip="">
          <dgm:adjLst/>
        </dgm:shape>
        <dgm:presOf/>
        <dgm:constrLst/>
        <dgm:forEach name="Name62" ref="accentRepeat"/>
      </dgm:layoutNode>
      <dgm:layoutNode name="ParentBackground7">
        <dgm:alg type="sp"/>
        <dgm:shape xmlns:r="http://schemas.openxmlformats.org/officeDocument/2006/relationships" r:blip="">
          <dgm:adjLst/>
        </dgm:shape>
        <dgm:presOf/>
        <dgm:forEach name="Name63" ref="parentBackgroundRepeat"/>
      </dgm:layoutNode>
      <dgm:choose name="Name64">
        <dgm:if name="Name65" axis="ch" ptType="node" func="cnt" op="gte" val="1">
          <dgm:layoutNode name="Child7"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66"/>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67" axis="ch" ptType="node" st="6" cnt="1">
      <dgm:layoutNode name="Accent6">
        <dgm:alg type="sp"/>
        <dgm:shape xmlns:r="http://schemas.openxmlformats.org/officeDocument/2006/relationships" r:blip="">
          <dgm:adjLst/>
        </dgm:shape>
        <dgm:presOf/>
        <dgm:constrLst/>
        <dgm:forEach name="Name68" ref="accentRepeat"/>
      </dgm:layoutNode>
      <dgm:layoutNode name="ParentBackground6">
        <dgm:alg type="sp"/>
        <dgm:shape xmlns:r="http://schemas.openxmlformats.org/officeDocument/2006/relationships" r:blip="">
          <dgm:adjLst/>
        </dgm:shape>
        <dgm:presOf/>
        <dgm:forEach name="Name69" ref="parentBackgroundRepeat"/>
      </dgm:layoutNode>
      <dgm:choose name="Name70">
        <dgm:if name="Name71" axis="ch" ptType="node" func="cnt" op="gte" val="1">
          <dgm:layoutNode name="Child6"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2"/>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3" axis="ch" ptType="node" st="5" cnt="1">
      <dgm:layoutNode name="Accent5">
        <dgm:alg type="sp"/>
        <dgm:shape xmlns:r="http://schemas.openxmlformats.org/officeDocument/2006/relationships" r:blip="">
          <dgm:adjLst/>
        </dgm:shape>
        <dgm:presOf/>
        <dgm:constrLst/>
        <dgm:forEach name="Name74" ref="accentRepeat"/>
      </dgm:layoutNode>
      <dgm:layoutNode name="ParentBackground5">
        <dgm:alg type="sp"/>
        <dgm:shape xmlns:r="http://schemas.openxmlformats.org/officeDocument/2006/relationships" r:blip="">
          <dgm:adjLst/>
        </dgm:shape>
        <dgm:presOf/>
        <dgm:forEach name="Name75" ref="parentBackgroundRepeat"/>
      </dgm:layoutNode>
      <dgm:choose name="Name76">
        <dgm:if name="Name77" axis="ch" ptType="node" func="cnt" op="gte" val="1">
          <dgm:layoutNode name="Child5"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78"/>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79" axis="ch" ptType="node" st="4" cnt="1">
      <dgm:layoutNode name="Accent4">
        <dgm:alg type="sp"/>
        <dgm:shape xmlns:r="http://schemas.openxmlformats.org/officeDocument/2006/relationships" r:blip="">
          <dgm:adjLst/>
        </dgm:shape>
        <dgm:presOf/>
        <dgm:constrLst/>
        <dgm:forEach name="Name80" ref="accentRepeat"/>
      </dgm:layoutNode>
      <dgm:layoutNode name="ParentBackground4">
        <dgm:alg type="sp"/>
        <dgm:shape xmlns:r="http://schemas.openxmlformats.org/officeDocument/2006/relationships" r:blip="">
          <dgm:adjLst/>
        </dgm:shape>
        <dgm:presOf/>
        <dgm:forEach name="Name81" ref="parentBackgroundRepeat"/>
      </dgm:layoutNode>
      <dgm:choose name="Name82">
        <dgm:if name="Name83" axis="ch" ptType="node" func="cnt" op="gte" val="1">
          <dgm:layoutNode name="Child4"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8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layoutNode name="ParentBackground3">
        <dgm:alg type="sp"/>
        <dgm:shape xmlns:r="http://schemas.openxmlformats.org/officeDocument/2006/relationships" r:blip="">
          <dgm:adjLst/>
        </dgm:shape>
        <dgm:presOf/>
        <dgm:forEach name="Name87" ref="parentBackgroundRepeat"/>
      </dgm:layoutNode>
      <dgm:choose name="Name88">
        <dgm:if name="Name89" axis="ch" ptType="node" func="cnt" op="gte" val="1">
          <dgm:layoutNode name="Child3"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0"/>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1" axis="ch" ptType="node" st="2" cnt="1">
      <dgm:layoutNode name="Accent2">
        <dgm:alg type="sp"/>
        <dgm:shape xmlns:r="http://schemas.openxmlformats.org/officeDocument/2006/relationships" r:blip="">
          <dgm:adjLst/>
        </dgm:shape>
        <dgm:presOf/>
        <dgm:constrLst/>
        <dgm:forEach name="Name92" ref="accentRepeat"/>
      </dgm:layoutNode>
      <dgm:layoutNode name="ParentBackground2" styleLbl="fgAcc1">
        <dgm:alg type="sp"/>
        <dgm:shape xmlns:r="http://schemas.openxmlformats.org/officeDocument/2006/relationships" r:blip="">
          <dgm:adjLst/>
        </dgm:shape>
        <dgm:presOf/>
        <dgm:forEach name="Name93" ref="parentBackgroundRepeat"/>
      </dgm:layoutNode>
      <dgm:choose name="Name94">
        <dgm:if name="Name95" axis="ch" ptType="node" func="cnt" op="gte" val="1">
          <dgm:layoutNode name="Child2"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96"/>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forEach name="Name97" axis="ch" ptType="node" cnt="1">
      <dgm:layoutNode name="Accent1">
        <dgm:alg type="sp"/>
        <dgm:shape xmlns:r="http://schemas.openxmlformats.org/officeDocument/2006/relationships" r:blip="">
          <dgm:adjLst/>
        </dgm:shape>
        <dgm:presOf/>
        <dgm:constrLst/>
        <dgm:forEach name="Name98" ref="accentRepeat"/>
      </dgm:layoutNode>
      <dgm:layoutNode name="ParentBackground1">
        <dgm:alg type="sp"/>
        <dgm:shape xmlns:r="http://schemas.openxmlformats.org/officeDocument/2006/relationships" r:blip="">
          <dgm:adjLst/>
        </dgm:shape>
        <dgm:presOf/>
        <dgm:forEach name="Name99" ref="parentBackgroundRepeat"/>
      </dgm:layoutNode>
      <dgm:choose name="Name100">
        <dgm:if name="Name101" axis="ch" ptType="node" func="cnt" op="gte" val="1">
          <dgm:layoutNode name="Child1" styleLbl="revTx">
            <dgm:varLst>
              <dgm:chMax val="0"/>
              <dgm:chPref val="0"/>
              <dgm:bulletEnabled val="1"/>
            </dgm:varLst>
            <dgm:alg type="tx">
              <dgm:param type="stBulletLvl" val="1"/>
              <dgm:param type="parTxLTRAlign" val="l"/>
              <dgm:param type="txAnchorVert" val="t"/>
            </dgm:alg>
            <dgm:shape xmlns:r="http://schemas.openxmlformats.org/officeDocument/2006/relationships" type="rect" r:blip="">
              <dgm:adjLst/>
            </dgm:shape>
            <dgm:presOf axis="des"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if>
        <dgm:else name="Name102"/>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hideGeom="1">
          <dgm:adjLst/>
        </dgm:shape>
        <dgm:presOf axis="self" ptType="node"/>
        <dgm:constrLst>
          <dgm:constr type="lMarg" refType="primFontSz" fact="0.1"/>
          <dgm:constr type="rMarg" refType="primFontSz" fact="0.1"/>
          <dgm:constr type="tMarg" refType="primFontSz" fact="0.1"/>
          <dgm:constr type="bMarg" refType="primFontSz" fact="0.1"/>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2B5077365DF146ABA5CE4D9E2C529DF8"/>
        <w:category>
          <w:name w:val="General"/>
          <w:gallery w:val="placeholder"/>
        </w:category>
        <w:types>
          <w:type w:val="bbPlcHdr"/>
        </w:types>
        <w:behaviors>
          <w:behavior w:val="content"/>
        </w:behaviors>
        <w:guid w:val="{6BFD9991-48AB-4C6D-A937-5C973B2EE18F}"/>
      </w:docPartPr>
      <w:docPartBody>
        <w:p w:rsidR="001525AD" w:rsidRDefault="00E21877" w:rsidP="008A3C0A">
          <w:pPr>
            <w:pStyle w:val="2B5077365DF146ABA5CE4D9E2C529DF84"/>
          </w:pPr>
          <w:r>
            <w:t xml:space="preserve"> </w:t>
          </w:r>
        </w:p>
      </w:docPartBody>
    </w:docPart>
    <w:docPart>
      <w:docPartPr>
        <w:name w:val="45A6C11EB4EC4383BC65743B82AA330A"/>
        <w:category>
          <w:name w:val="General"/>
          <w:gallery w:val="placeholder"/>
        </w:category>
        <w:types>
          <w:type w:val="bbPlcHdr"/>
        </w:types>
        <w:behaviors>
          <w:behavior w:val="content"/>
        </w:behaviors>
        <w:guid w:val="{802DDBB0-7DBA-4D8F-9709-54CE3A81EA13}"/>
      </w:docPartPr>
      <w:docPartBody>
        <w:p w:rsidR="001525AD" w:rsidRDefault="00E21877" w:rsidP="001525AD">
          <w:pPr>
            <w:pStyle w:val="45A6C11EB4EC4383BC65743B82AA330A"/>
          </w:pPr>
          <w:r w:rsidRPr="00E234BB">
            <w:rPr>
              <w:rStyle w:val="PlaceholderText"/>
            </w:rPr>
            <w:t>Click here to enter text.</w:t>
          </w:r>
        </w:p>
      </w:docPartBody>
    </w:docPart>
    <w:docPart>
      <w:docPartPr>
        <w:name w:val="C5BA4AA63AE24473B824080B3C187DA0"/>
        <w:category>
          <w:name w:val="General"/>
          <w:gallery w:val="placeholder"/>
        </w:category>
        <w:types>
          <w:type w:val="bbPlcHdr"/>
        </w:types>
        <w:behaviors>
          <w:behavior w:val="content"/>
        </w:behaviors>
        <w:guid w:val="{E0032DE8-23ED-405D-AA7F-DE1389EBF3E0}"/>
      </w:docPartPr>
      <w:docPartBody>
        <w:p w:rsidR="001525AD" w:rsidRDefault="00E21877" w:rsidP="001525AD">
          <w:pPr>
            <w:pStyle w:val="C5BA4AA63AE24473B824080B3C187DA0"/>
          </w:pPr>
          <w:r w:rsidRPr="00E234BB">
            <w:rPr>
              <w:rStyle w:val="PlaceholderText"/>
            </w:rPr>
            <w:t>Click here to enter text.</w:t>
          </w:r>
        </w:p>
      </w:docPartBody>
    </w:docPart>
    <w:docPart>
      <w:docPartPr>
        <w:name w:val="07C010762DC94CE9AF0A17E989FB040D"/>
        <w:category>
          <w:name w:val="General"/>
          <w:gallery w:val="placeholder"/>
        </w:category>
        <w:types>
          <w:type w:val="bbPlcHdr"/>
        </w:types>
        <w:behaviors>
          <w:behavior w:val="content"/>
        </w:behaviors>
        <w:guid w:val="{2FCDA930-8985-45F0-A32D-57D232317A5D}"/>
      </w:docPartPr>
      <w:docPartBody>
        <w:p w:rsidR="00E82E60" w:rsidRDefault="00E21877" w:rsidP="00946873">
          <w:pPr>
            <w:pStyle w:val="07C010762DC94CE9AF0A17E989FB040D8"/>
          </w:pPr>
          <w:r w:rsidRPr="00C30247">
            <w:rPr>
              <w:color w:val="FFFFFF" w:themeColor="background1"/>
            </w:rPr>
            <w:t>.</w:t>
          </w:r>
        </w:p>
      </w:docPartBody>
    </w:docPart>
    <w:docPart>
      <w:docPartPr>
        <w:name w:val="33E9DF55CF9B4BC1A21120EF32B66D2C"/>
        <w:category>
          <w:name w:val="General"/>
          <w:gallery w:val="placeholder"/>
        </w:category>
        <w:types>
          <w:type w:val="bbPlcHdr"/>
        </w:types>
        <w:behaviors>
          <w:behavior w:val="content"/>
        </w:behaviors>
        <w:guid w:val="{14EFC436-E16B-4C5B-A381-F949A6ACF0DF}"/>
      </w:docPartPr>
      <w:docPartBody>
        <w:p w:rsidR="00E82E60" w:rsidRDefault="00E21877" w:rsidP="00E82E60">
          <w:pPr>
            <w:pStyle w:val="33E9DF55CF9B4BC1A21120EF32B66D2C"/>
          </w:pPr>
          <w:r w:rsidRPr="00E234BB">
            <w:rPr>
              <w:rStyle w:val="PlaceholderText"/>
            </w:rPr>
            <w:t>Click here to enter text.</w:t>
          </w:r>
        </w:p>
      </w:docPartBody>
    </w:docPart>
    <w:docPart>
      <w:docPartPr>
        <w:name w:val="7E5BB87C5F0F45ED83849867B9C8F9E1"/>
        <w:category>
          <w:name w:val="General"/>
          <w:gallery w:val="placeholder"/>
        </w:category>
        <w:types>
          <w:type w:val="bbPlcHdr"/>
        </w:types>
        <w:behaviors>
          <w:behavior w:val="content"/>
        </w:behaviors>
        <w:guid w:val="{EF9BEF0E-5899-4AA7-B78D-354B04A52B92}"/>
      </w:docPartPr>
      <w:docPartBody>
        <w:p w:rsidR="00DD4AE2" w:rsidRDefault="00E21877" w:rsidP="00E82E60">
          <w:pPr>
            <w:pStyle w:val="7E5BB87C5F0F45ED83849867B9C8F9E1"/>
          </w:pPr>
          <w:r w:rsidRPr="00E234BB">
            <w:rPr>
              <w:rStyle w:val="PlaceholderText"/>
            </w:rPr>
            <w:t>Click here to enter text.</w:t>
          </w:r>
        </w:p>
      </w:docPartBody>
    </w:docPart>
    <w:docPart>
      <w:docPartPr>
        <w:name w:val="F2F1857A6E8F46ACADCC6A64F46F7687"/>
        <w:category>
          <w:name w:val="General"/>
          <w:gallery w:val="placeholder"/>
        </w:category>
        <w:types>
          <w:type w:val="bbPlcHdr"/>
        </w:types>
        <w:behaviors>
          <w:behavior w:val="content"/>
        </w:behaviors>
        <w:guid w:val="{FCE39720-1134-4C0F-A1A8-7FC64DA1FE0F}"/>
      </w:docPartPr>
      <w:docPartBody>
        <w:p w:rsidR="00DE434B" w:rsidRDefault="00E21877" w:rsidP="00946873">
          <w:pPr>
            <w:pStyle w:val="F2F1857A6E8F46ACADCC6A64F46F76877"/>
          </w:pPr>
          <w:r w:rsidRPr="00C30247">
            <w:rPr>
              <w:color w:val="FFFFFF" w:themeColor="background1"/>
            </w:rPr>
            <w:t>.</w:t>
          </w:r>
        </w:p>
      </w:docPartBody>
    </w:docPart>
    <w:docPart>
      <w:docPartPr>
        <w:name w:val="A4583429CCED41ABBD020F7DA57547F9"/>
        <w:category>
          <w:name w:val="General"/>
          <w:gallery w:val="placeholder"/>
        </w:category>
        <w:types>
          <w:type w:val="bbPlcHdr"/>
        </w:types>
        <w:behaviors>
          <w:behavior w:val="content"/>
        </w:behaviors>
        <w:guid w:val="{33CFCA2D-1E28-4F22-A1B8-905696BC958A}"/>
      </w:docPartPr>
      <w:docPartBody>
        <w:p w:rsidR="00DE434B" w:rsidRDefault="00E21877" w:rsidP="00946873">
          <w:pPr>
            <w:pStyle w:val="A4583429CCED41ABBD020F7DA57547F97"/>
          </w:pPr>
          <w:r w:rsidRPr="00C30247">
            <w:rPr>
              <w:color w:val="FFFFFF" w:themeColor="background1"/>
            </w:rPr>
            <w:t>.</w:t>
          </w:r>
        </w:p>
      </w:docPartBody>
    </w:docPart>
    <w:docPart>
      <w:docPartPr>
        <w:name w:val="8F1F80613ACA486C890A24BBE598E7FB"/>
        <w:category>
          <w:name w:val="General"/>
          <w:gallery w:val="placeholder"/>
        </w:category>
        <w:types>
          <w:type w:val="bbPlcHdr"/>
        </w:types>
        <w:behaviors>
          <w:behavior w:val="content"/>
        </w:behaviors>
        <w:guid w:val="{EADF7A1D-B810-47D2-A25E-5F9053E9ACAC}"/>
      </w:docPartPr>
      <w:docPartBody>
        <w:p w:rsidR="00705F2B" w:rsidRDefault="00E21877" w:rsidP="00946873">
          <w:pPr>
            <w:pStyle w:val="8F1F80613ACA486C890A24BBE598E7FB8"/>
          </w:pPr>
          <w:r w:rsidRPr="00C30247">
            <w:rPr>
              <w:rStyle w:val="PlaceholderText"/>
              <w:color w:val="FFFFFF" w:themeColor="background1"/>
            </w:rPr>
            <w:t>.</w:t>
          </w:r>
        </w:p>
      </w:docPartBody>
    </w:docPart>
    <w:docPart>
      <w:docPartPr>
        <w:name w:val="DefaultPlaceholder_22675703"/>
        <w:category>
          <w:name w:val="General"/>
          <w:gallery w:val="placeholder"/>
        </w:category>
        <w:types>
          <w:type w:val="bbPlcHdr"/>
        </w:types>
        <w:behaviors>
          <w:behavior w:val="content"/>
        </w:behaviors>
        <w:guid w:val="{C6A48866-B253-4827-85DC-07A5AEF47775}"/>
      </w:docPartPr>
      <w:docPartBody>
        <w:p w:rsidR="00F3595E" w:rsidRDefault="00E21877">
          <w:r>
            <w:rPr>
              <w:rStyle w:val="PlaceholderText"/>
            </w:rPr>
            <w:t>Click here to enter text.</w:t>
          </w:r>
        </w:p>
      </w:docPartBody>
    </w:docPart>
    <w:docPart>
      <w:docPartPr>
        <w:name w:val="8BC3695349A8436C8D40956A163F3197"/>
        <w:category>
          <w:name w:val="General"/>
          <w:gallery w:val="placeholder"/>
        </w:category>
        <w:types>
          <w:type w:val="bbPlcHdr"/>
        </w:types>
        <w:behaviors>
          <w:behavior w:val="content"/>
        </w:behaviors>
        <w:guid w:val="{D3B34262-4E9D-4E08-AB8B-166BB597C29D}"/>
      </w:docPartPr>
      <w:docPartBody>
        <w:p w:rsidR="00882078" w:rsidRDefault="00D6747A" w:rsidP="00D6747A">
          <w:pPr>
            <w:pStyle w:val="8BC3695349A8436C8D40956A163F3197"/>
          </w:pPr>
          <w:r>
            <w:rPr>
              <w:b/>
              <w:bCs/>
              <w:color w:val="7F7F7F" w:themeColor="text1" w:themeTint="80"/>
            </w:rPr>
            <w:t xml:space="preserve"> </w:t>
          </w:r>
        </w:p>
      </w:docPartBody>
    </w:docPart>
    <w:docPart>
      <w:docPartPr>
        <w:name w:val="FFD8A41E47534379B344D62DD44DA2C3"/>
        <w:category>
          <w:name w:val="General"/>
          <w:gallery w:val="placeholder"/>
        </w:category>
        <w:types>
          <w:type w:val="bbPlcHdr"/>
        </w:types>
        <w:behaviors>
          <w:behavior w:val="content"/>
        </w:behaviors>
        <w:guid w:val="{C2257782-27B4-49C9-B8A4-7A6843043233}"/>
      </w:docPartPr>
      <w:docPartBody>
        <w:p w:rsidR="00882078" w:rsidRDefault="00D6747A" w:rsidP="00D6747A">
          <w:pPr>
            <w:pStyle w:val="FFD8A41E47534379B344D62DD44DA2C3"/>
          </w:pPr>
          <w:r w:rsidRPr="00764859">
            <w:rPr>
              <w:rStyle w:val="PlaceholderText"/>
            </w:rPr>
            <w:t>Click here to enter text.</w:t>
          </w:r>
        </w:p>
      </w:docPartBody>
    </w:docPart>
    <w:docPart>
      <w:docPartPr>
        <w:name w:val="A74B4EA0562B4336A558721ED06C669D"/>
        <w:category>
          <w:name w:val="General"/>
          <w:gallery w:val="placeholder"/>
        </w:category>
        <w:types>
          <w:type w:val="bbPlcHdr"/>
        </w:types>
        <w:behaviors>
          <w:behavior w:val="content"/>
        </w:behaviors>
        <w:guid w:val="{7FEECCBB-EA52-4C86-B53B-7EFFC1ABE7C0}"/>
      </w:docPartPr>
      <w:docPartBody>
        <w:p w:rsidR="00882078" w:rsidRDefault="00D6747A" w:rsidP="00D6747A">
          <w:pPr>
            <w:pStyle w:val="A74B4EA0562B4336A558721ED06C669D"/>
          </w:pPr>
          <w:r w:rsidRPr="0076485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5AD"/>
    <w:rsid w:val="00005BD1"/>
    <w:rsid w:val="000231B9"/>
    <w:rsid w:val="000677B1"/>
    <w:rsid w:val="00085AD6"/>
    <w:rsid w:val="000A7620"/>
    <w:rsid w:val="000F3A25"/>
    <w:rsid w:val="001029F3"/>
    <w:rsid w:val="00152573"/>
    <w:rsid w:val="001525AD"/>
    <w:rsid w:val="001E4A8C"/>
    <w:rsid w:val="00221106"/>
    <w:rsid w:val="00227CDA"/>
    <w:rsid w:val="002A02EF"/>
    <w:rsid w:val="002A3DA6"/>
    <w:rsid w:val="002B1DC6"/>
    <w:rsid w:val="002D5241"/>
    <w:rsid w:val="00301656"/>
    <w:rsid w:val="00311530"/>
    <w:rsid w:val="00331B9A"/>
    <w:rsid w:val="003D4B65"/>
    <w:rsid w:val="004021E5"/>
    <w:rsid w:val="00410A3F"/>
    <w:rsid w:val="004C18C9"/>
    <w:rsid w:val="004D028B"/>
    <w:rsid w:val="004E0247"/>
    <w:rsid w:val="0051471C"/>
    <w:rsid w:val="0055540A"/>
    <w:rsid w:val="006A7C9C"/>
    <w:rsid w:val="006B03CF"/>
    <w:rsid w:val="006B3F3D"/>
    <w:rsid w:val="00701A3A"/>
    <w:rsid w:val="0070332A"/>
    <w:rsid w:val="00705F2B"/>
    <w:rsid w:val="0071252C"/>
    <w:rsid w:val="007C032A"/>
    <w:rsid w:val="008147BF"/>
    <w:rsid w:val="00827254"/>
    <w:rsid w:val="00843BFB"/>
    <w:rsid w:val="00877D45"/>
    <w:rsid w:val="00882078"/>
    <w:rsid w:val="008A24AA"/>
    <w:rsid w:val="008A3C0A"/>
    <w:rsid w:val="008E0DD9"/>
    <w:rsid w:val="00926021"/>
    <w:rsid w:val="00946873"/>
    <w:rsid w:val="00994DAE"/>
    <w:rsid w:val="009B4A2F"/>
    <w:rsid w:val="009E0539"/>
    <w:rsid w:val="00A05961"/>
    <w:rsid w:val="00A15735"/>
    <w:rsid w:val="00A317F8"/>
    <w:rsid w:val="00A37E50"/>
    <w:rsid w:val="00A625D7"/>
    <w:rsid w:val="00A73913"/>
    <w:rsid w:val="00A96F0F"/>
    <w:rsid w:val="00AA0DCD"/>
    <w:rsid w:val="00AA6FB2"/>
    <w:rsid w:val="00AC3DDB"/>
    <w:rsid w:val="00AE5B83"/>
    <w:rsid w:val="00B56EB8"/>
    <w:rsid w:val="00BE0BF4"/>
    <w:rsid w:val="00C06C82"/>
    <w:rsid w:val="00C45FCF"/>
    <w:rsid w:val="00CD20CB"/>
    <w:rsid w:val="00CD3324"/>
    <w:rsid w:val="00D01AD1"/>
    <w:rsid w:val="00D4761D"/>
    <w:rsid w:val="00D6747A"/>
    <w:rsid w:val="00DD4AE2"/>
    <w:rsid w:val="00DE434B"/>
    <w:rsid w:val="00DF6F79"/>
    <w:rsid w:val="00E21877"/>
    <w:rsid w:val="00E22F83"/>
    <w:rsid w:val="00E3133C"/>
    <w:rsid w:val="00E57FAD"/>
    <w:rsid w:val="00E82852"/>
    <w:rsid w:val="00E82E60"/>
    <w:rsid w:val="00EA33CF"/>
    <w:rsid w:val="00EC0725"/>
    <w:rsid w:val="00EF52D4"/>
    <w:rsid w:val="00EF7B84"/>
    <w:rsid w:val="00F133DA"/>
    <w:rsid w:val="00F3595E"/>
    <w:rsid w:val="00F80F81"/>
    <w:rsid w:val="00F90F94"/>
    <w:rsid w:val="00FE03C4"/>
    <w:rsid w:val="00FE3F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747A"/>
    <w:rPr>
      <w:color w:val="808080"/>
    </w:rPr>
  </w:style>
  <w:style w:type="paragraph" w:customStyle="1" w:styleId="5C9301ECE2324636B00C6245BA76D9F9">
    <w:name w:val="5C9301ECE2324636B00C6245BA76D9F9"/>
    <w:rsid w:val="001525AD"/>
  </w:style>
  <w:style w:type="paragraph" w:customStyle="1" w:styleId="88802850ABDE4B3DBA00BB410B49251E">
    <w:name w:val="88802850ABDE4B3DBA00BB410B49251E"/>
    <w:rsid w:val="001525AD"/>
  </w:style>
  <w:style w:type="paragraph" w:customStyle="1" w:styleId="D3FF94336D4B4D99BECBBF54A60F70F0">
    <w:name w:val="D3FF94336D4B4D99BECBBF54A60F70F0"/>
    <w:rsid w:val="001525AD"/>
  </w:style>
  <w:style w:type="paragraph" w:customStyle="1" w:styleId="AC706D4E3B814A859C26366DD1C278B1">
    <w:name w:val="AC706D4E3B814A859C26366DD1C278B1"/>
    <w:rsid w:val="001525AD"/>
  </w:style>
  <w:style w:type="paragraph" w:customStyle="1" w:styleId="2B5077365DF146ABA5CE4D9E2C529DF8">
    <w:name w:val="2B5077365DF146ABA5CE4D9E2C529DF8"/>
    <w:rsid w:val="001525AD"/>
  </w:style>
  <w:style w:type="paragraph" w:customStyle="1" w:styleId="45A6C11EB4EC4383BC65743B82AA330A">
    <w:name w:val="45A6C11EB4EC4383BC65743B82AA330A"/>
    <w:rsid w:val="001525AD"/>
  </w:style>
  <w:style w:type="paragraph" w:customStyle="1" w:styleId="5B6329F5ABF54A88A99EDF85720D7E86">
    <w:name w:val="5B6329F5ABF54A88A99EDF85720D7E86"/>
    <w:rsid w:val="001525AD"/>
  </w:style>
  <w:style w:type="paragraph" w:customStyle="1" w:styleId="F36FAE61805F43938B371521014BC486">
    <w:name w:val="F36FAE61805F43938B371521014BC486"/>
    <w:rsid w:val="001525AD"/>
  </w:style>
  <w:style w:type="paragraph" w:customStyle="1" w:styleId="BE3F93F31C624D1BA894F7D48159A8AB">
    <w:name w:val="BE3F93F31C624D1BA894F7D48159A8AB"/>
    <w:rsid w:val="001525AD"/>
  </w:style>
  <w:style w:type="paragraph" w:customStyle="1" w:styleId="85DBEE410FD042329360BEF513D6611F">
    <w:name w:val="85DBEE410FD042329360BEF513D6611F"/>
    <w:rsid w:val="001525AD"/>
  </w:style>
  <w:style w:type="paragraph" w:customStyle="1" w:styleId="C5BA4AA63AE24473B824080B3C187DA0">
    <w:name w:val="C5BA4AA63AE24473B824080B3C187DA0"/>
    <w:rsid w:val="001525AD"/>
  </w:style>
  <w:style w:type="paragraph" w:customStyle="1" w:styleId="2B5077365DF146ABA5CE4D9E2C529DF81">
    <w:name w:val="2B5077365DF146ABA5CE4D9E2C529DF81"/>
    <w:rsid w:val="00E82E60"/>
    <w:rPr>
      <w:rFonts w:eastAsiaTheme="minorHAnsi"/>
    </w:rPr>
  </w:style>
  <w:style w:type="paragraph" w:customStyle="1" w:styleId="B040FCB7C5D84C889ACA44172A84B98A">
    <w:name w:val="B040FCB7C5D84C889ACA44172A84B98A"/>
    <w:rsid w:val="00E82E60"/>
  </w:style>
  <w:style w:type="paragraph" w:customStyle="1" w:styleId="0270CC615E514AE38B78983143D65DF3">
    <w:name w:val="0270CC615E514AE38B78983143D65DF3"/>
    <w:rsid w:val="00E82E60"/>
  </w:style>
  <w:style w:type="paragraph" w:customStyle="1" w:styleId="8D5E16775B6E4DDE8DE40BA90EEFB382">
    <w:name w:val="8D5E16775B6E4DDE8DE40BA90EEFB382"/>
    <w:rsid w:val="00E82E60"/>
  </w:style>
  <w:style w:type="paragraph" w:customStyle="1" w:styleId="B27AA87A300048E3997C2BAB5110ABA4">
    <w:name w:val="B27AA87A300048E3997C2BAB5110ABA4"/>
    <w:rsid w:val="00E82E60"/>
  </w:style>
  <w:style w:type="paragraph" w:customStyle="1" w:styleId="07C010762DC94CE9AF0A17E989FB040D">
    <w:name w:val="07C010762DC94CE9AF0A17E989FB040D"/>
    <w:rsid w:val="00E82E60"/>
  </w:style>
  <w:style w:type="paragraph" w:customStyle="1" w:styleId="33E9DF55CF9B4BC1A21120EF32B66D2C">
    <w:name w:val="33E9DF55CF9B4BC1A21120EF32B66D2C"/>
    <w:rsid w:val="00E82E60"/>
  </w:style>
  <w:style w:type="paragraph" w:customStyle="1" w:styleId="7E5BB87C5F0F45ED83849867B9C8F9E1">
    <w:name w:val="7E5BB87C5F0F45ED83849867B9C8F9E1"/>
    <w:rsid w:val="00E82E60"/>
  </w:style>
  <w:style w:type="paragraph" w:customStyle="1" w:styleId="2B5077365DF146ABA5CE4D9E2C529DF82">
    <w:name w:val="2B5077365DF146ABA5CE4D9E2C529DF82"/>
    <w:rsid w:val="00DD4AE2"/>
    <w:rPr>
      <w:rFonts w:eastAsiaTheme="minorHAnsi"/>
    </w:rPr>
  </w:style>
  <w:style w:type="paragraph" w:customStyle="1" w:styleId="2B5077365DF146ABA5CE4D9E2C529DF83">
    <w:name w:val="2B5077365DF146ABA5CE4D9E2C529DF83"/>
    <w:rsid w:val="00E22F83"/>
    <w:rPr>
      <w:rFonts w:eastAsiaTheme="minorHAnsi"/>
    </w:rPr>
  </w:style>
  <w:style w:type="paragraph" w:customStyle="1" w:styleId="2B5077365DF146ABA5CE4D9E2C529DF84">
    <w:name w:val="2B5077365DF146ABA5CE4D9E2C529DF84"/>
    <w:rsid w:val="008A3C0A"/>
    <w:rPr>
      <w:rFonts w:eastAsiaTheme="minorHAnsi"/>
    </w:rPr>
  </w:style>
  <w:style w:type="paragraph" w:customStyle="1" w:styleId="8F1F80613ACA486C890A24BBE598E7FB">
    <w:name w:val="8F1F80613ACA486C890A24BBE598E7FB"/>
    <w:rsid w:val="002D5241"/>
    <w:rPr>
      <w:rFonts w:eastAsiaTheme="minorHAnsi"/>
    </w:rPr>
  </w:style>
  <w:style w:type="paragraph" w:customStyle="1" w:styleId="8F1F80613ACA486C890A24BBE598E7FB1">
    <w:name w:val="8F1F80613ACA486C890A24BBE598E7FB1"/>
    <w:rsid w:val="00705F2B"/>
    <w:rPr>
      <w:rFonts w:eastAsiaTheme="minorHAnsi"/>
    </w:rPr>
  </w:style>
  <w:style w:type="paragraph" w:customStyle="1" w:styleId="F2F1857A6E8F46ACADCC6A64F46F7687">
    <w:name w:val="F2F1857A6E8F46ACADCC6A64F46F7687"/>
    <w:rsid w:val="00705F2B"/>
    <w:rPr>
      <w:rFonts w:eastAsiaTheme="minorHAnsi"/>
    </w:rPr>
  </w:style>
  <w:style w:type="paragraph" w:customStyle="1" w:styleId="A4583429CCED41ABBD020F7DA57547F9">
    <w:name w:val="A4583429CCED41ABBD020F7DA57547F9"/>
    <w:rsid w:val="00705F2B"/>
    <w:rPr>
      <w:rFonts w:eastAsiaTheme="minorHAnsi"/>
    </w:rPr>
  </w:style>
  <w:style w:type="paragraph" w:customStyle="1" w:styleId="07C010762DC94CE9AF0A17E989FB040D1">
    <w:name w:val="07C010762DC94CE9AF0A17E989FB040D1"/>
    <w:rsid w:val="00705F2B"/>
    <w:rPr>
      <w:rFonts w:eastAsiaTheme="minorHAnsi"/>
    </w:rPr>
  </w:style>
  <w:style w:type="paragraph" w:customStyle="1" w:styleId="8F1F80613ACA486C890A24BBE598E7FB2">
    <w:name w:val="8F1F80613ACA486C890A24BBE598E7FB2"/>
    <w:rsid w:val="004D028B"/>
    <w:rPr>
      <w:rFonts w:eastAsiaTheme="minorHAnsi"/>
    </w:rPr>
  </w:style>
  <w:style w:type="paragraph" w:customStyle="1" w:styleId="F2F1857A6E8F46ACADCC6A64F46F76871">
    <w:name w:val="F2F1857A6E8F46ACADCC6A64F46F76871"/>
    <w:rsid w:val="004D028B"/>
    <w:rPr>
      <w:rFonts w:eastAsiaTheme="minorHAnsi"/>
    </w:rPr>
  </w:style>
  <w:style w:type="paragraph" w:customStyle="1" w:styleId="A4583429CCED41ABBD020F7DA57547F91">
    <w:name w:val="A4583429CCED41ABBD020F7DA57547F91"/>
    <w:rsid w:val="004D028B"/>
    <w:rPr>
      <w:rFonts w:eastAsiaTheme="minorHAnsi"/>
    </w:rPr>
  </w:style>
  <w:style w:type="paragraph" w:customStyle="1" w:styleId="07C010762DC94CE9AF0A17E989FB040D2">
    <w:name w:val="07C010762DC94CE9AF0A17E989FB040D2"/>
    <w:rsid w:val="004D028B"/>
    <w:rPr>
      <w:rFonts w:eastAsiaTheme="minorHAnsi"/>
    </w:rPr>
  </w:style>
  <w:style w:type="paragraph" w:customStyle="1" w:styleId="8F1F80613ACA486C890A24BBE598E7FB3">
    <w:name w:val="8F1F80613ACA486C890A24BBE598E7FB3"/>
    <w:rsid w:val="006A7C9C"/>
    <w:rPr>
      <w:rFonts w:eastAsiaTheme="minorHAnsi"/>
    </w:rPr>
  </w:style>
  <w:style w:type="paragraph" w:customStyle="1" w:styleId="F2F1857A6E8F46ACADCC6A64F46F76872">
    <w:name w:val="F2F1857A6E8F46ACADCC6A64F46F76872"/>
    <w:rsid w:val="006A7C9C"/>
    <w:rPr>
      <w:rFonts w:eastAsiaTheme="minorHAnsi"/>
    </w:rPr>
  </w:style>
  <w:style w:type="paragraph" w:customStyle="1" w:styleId="A4583429CCED41ABBD020F7DA57547F92">
    <w:name w:val="A4583429CCED41ABBD020F7DA57547F92"/>
    <w:rsid w:val="006A7C9C"/>
    <w:rPr>
      <w:rFonts w:eastAsiaTheme="minorHAnsi"/>
    </w:rPr>
  </w:style>
  <w:style w:type="paragraph" w:customStyle="1" w:styleId="07C010762DC94CE9AF0A17E989FB040D3">
    <w:name w:val="07C010762DC94CE9AF0A17E989FB040D3"/>
    <w:rsid w:val="006A7C9C"/>
    <w:rPr>
      <w:rFonts w:eastAsiaTheme="minorHAnsi"/>
    </w:rPr>
  </w:style>
  <w:style w:type="paragraph" w:customStyle="1" w:styleId="8F1F80613ACA486C890A24BBE598E7FB4">
    <w:name w:val="8F1F80613ACA486C890A24BBE598E7FB4"/>
    <w:rsid w:val="000231B9"/>
    <w:rPr>
      <w:rFonts w:eastAsiaTheme="minorHAnsi"/>
    </w:rPr>
  </w:style>
  <w:style w:type="paragraph" w:customStyle="1" w:styleId="F2F1857A6E8F46ACADCC6A64F46F76873">
    <w:name w:val="F2F1857A6E8F46ACADCC6A64F46F76873"/>
    <w:rsid w:val="000231B9"/>
    <w:rPr>
      <w:rFonts w:eastAsiaTheme="minorHAnsi"/>
    </w:rPr>
  </w:style>
  <w:style w:type="paragraph" w:customStyle="1" w:styleId="A4583429CCED41ABBD020F7DA57547F93">
    <w:name w:val="A4583429CCED41ABBD020F7DA57547F93"/>
    <w:rsid w:val="000231B9"/>
    <w:rPr>
      <w:rFonts w:eastAsiaTheme="minorHAnsi"/>
    </w:rPr>
  </w:style>
  <w:style w:type="paragraph" w:customStyle="1" w:styleId="07C010762DC94CE9AF0A17E989FB040D4">
    <w:name w:val="07C010762DC94CE9AF0A17E989FB040D4"/>
    <w:rsid w:val="000231B9"/>
    <w:rPr>
      <w:rFonts w:eastAsiaTheme="minorHAnsi"/>
    </w:rPr>
  </w:style>
  <w:style w:type="paragraph" w:customStyle="1" w:styleId="8F1F80613ACA486C890A24BBE598E7FB5">
    <w:name w:val="8F1F80613ACA486C890A24BBE598E7FB5"/>
    <w:rsid w:val="000231B9"/>
    <w:rPr>
      <w:rFonts w:eastAsiaTheme="minorHAnsi"/>
    </w:rPr>
  </w:style>
  <w:style w:type="paragraph" w:customStyle="1" w:styleId="F2F1857A6E8F46ACADCC6A64F46F76874">
    <w:name w:val="F2F1857A6E8F46ACADCC6A64F46F76874"/>
    <w:rsid w:val="000231B9"/>
    <w:rPr>
      <w:rFonts w:eastAsiaTheme="minorHAnsi"/>
    </w:rPr>
  </w:style>
  <w:style w:type="paragraph" w:customStyle="1" w:styleId="A4583429CCED41ABBD020F7DA57547F94">
    <w:name w:val="A4583429CCED41ABBD020F7DA57547F94"/>
    <w:rsid w:val="000231B9"/>
    <w:rPr>
      <w:rFonts w:eastAsiaTheme="minorHAnsi"/>
    </w:rPr>
  </w:style>
  <w:style w:type="paragraph" w:customStyle="1" w:styleId="07C010762DC94CE9AF0A17E989FB040D5">
    <w:name w:val="07C010762DC94CE9AF0A17E989FB040D5"/>
    <w:rsid w:val="000231B9"/>
    <w:rPr>
      <w:rFonts w:eastAsiaTheme="minorHAnsi"/>
    </w:rPr>
  </w:style>
  <w:style w:type="paragraph" w:customStyle="1" w:styleId="8F1F80613ACA486C890A24BBE598E7FB6">
    <w:name w:val="8F1F80613ACA486C890A24BBE598E7FB6"/>
    <w:rsid w:val="009E0539"/>
    <w:rPr>
      <w:rFonts w:eastAsiaTheme="minorHAnsi"/>
    </w:rPr>
  </w:style>
  <w:style w:type="paragraph" w:customStyle="1" w:styleId="F2F1857A6E8F46ACADCC6A64F46F76875">
    <w:name w:val="F2F1857A6E8F46ACADCC6A64F46F76875"/>
    <w:rsid w:val="009E0539"/>
    <w:rPr>
      <w:rFonts w:eastAsiaTheme="minorHAnsi"/>
    </w:rPr>
  </w:style>
  <w:style w:type="paragraph" w:customStyle="1" w:styleId="A4583429CCED41ABBD020F7DA57547F95">
    <w:name w:val="A4583429CCED41ABBD020F7DA57547F95"/>
    <w:rsid w:val="009E0539"/>
    <w:rPr>
      <w:rFonts w:eastAsiaTheme="minorHAnsi"/>
    </w:rPr>
  </w:style>
  <w:style w:type="paragraph" w:customStyle="1" w:styleId="07C010762DC94CE9AF0A17E989FB040D6">
    <w:name w:val="07C010762DC94CE9AF0A17E989FB040D6"/>
    <w:rsid w:val="009E0539"/>
    <w:rPr>
      <w:rFonts w:eastAsiaTheme="minorHAnsi"/>
    </w:rPr>
  </w:style>
  <w:style w:type="paragraph" w:customStyle="1" w:styleId="8F1F80613ACA486C890A24BBE598E7FB7">
    <w:name w:val="8F1F80613ACA486C890A24BBE598E7FB7"/>
    <w:rsid w:val="00B56EB8"/>
    <w:rPr>
      <w:rFonts w:eastAsiaTheme="minorHAnsi"/>
    </w:rPr>
  </w:style>
  <w:style w:type="paragraph" w:customStyle="1" w:styleId="F2F1857A6E8F46ACADCC6A64F46F76876">
    <w:name w:val="F2F1857A6E8F46ACADCC6A64F46F76876"/>
    <w:rsid w:val="00B56EB8"/>
    <w:rPr>
      <w:rFonts w:eastAsiaTheme="minorHAnsi"/>
    </w:rPr>
  </w:style>
  <w:style w:type="paragraph" w:customStyle="1" w:styleId="A4583429CCED41ABBD020F7DA57547F96">
    <w:name w:val="A4583429CCED41ABBD020F7DA57547F96"/>
    <w:rsid w:val="00B56EB8"/>
    <w:rPr>
      <w:rFonts w:eastAsiaTheme="minorHAnsi"/>
    </w:rPr>
  </w:style>
  <w:style w:type="paragraph" w:customStyle="1" w:styleId="07C010762DC94CE9AF0A17E989FB040D7">
    <w:name w:val="07C010762DC94CE9AF0A17E989FB040D7"/>
    <w:rsid w:val="00B56EB8"/>
    <w:rPr>
      <w:rFonts w:eastAsiaTheme="minorHAnsi"/>
    </w:rPr>
  </w:style>
  <w:style w:type="paragraph" w:customStyle="1" w:styleId="8F1F80613ACA486C890A24BBE598E7FB8">
    <w:name w:val="8F1F80613ACA486C890A24BBE598E7FB8"/>
    <w:rsid w:val="00946873"/>
    <w:rPr>
      <w:rFonts w:eastAsiaTheme="minorHAnsi"/>
    </w:rPr>
  </w:style>
  <w:style w:type="paragraph" w:customStyle="1" w:styleId="F2F1857A6E8F46ACADCC6A64F46F76877">
    <w:name w:val="F2F1857A6E8F46ACADCC6A64F46F76877"/>
    <w:rsid w:val="00946873"/>
    <w:rPr>
      <w:rFonts w:eastAsiaTheme="minorHAnsi"/>
    </w:rPr>
  </w:style>
  <w:style w:type="paragraph" w:customStyle="1" w:styleId="A4583429CCED41ABBD020F7DA57547F97">
    <w:name w:val="A4583429CCED41ABBD020F7DA57547F97"/>
    <w:rsid w:val="00946873"/>
    <w:rPr>
      <w:rFonts w:eastAsiaTheme="minorHAnsi"/>
    </w:rPr>
  </w:style>
  <w:style w:type="paragraph" w:customStyle="1" w:styleId="07C010762DC94CE9AF0A17E989FB040D8">
    <w:name w:val="07C010762DC94CE9AF0A17E989FB040D8"/>
    <w:rsid w:val="00946873"/>
    <w:rPr>
      <w:rFonts w:eastAsiaTheme="minorHAnsi"/>
    </w:rPr>
  </w:style>
  <w:style w:type="paragraph" w:customStyle="1" w:styleId="8BC3695349A8436C8D40956A163F3197">
    <w:name w:val="8BC3695349A8436C8D40956A163F3197"/>
    <w:rsid w:val="00D6747A"/>
  </w:style>
  <w:style w:type="paragraph" w:customStyle="1" w:styleId="FFD8A41E47534379B344D62DD44DA2C3">
    <w:name w:val="FFD8A41E47534379B344D62DD44DA2C3"/>
    <w:rsid w:val="00D6747A"/>
  </w:style>
  <w:style w:type="paragraph" w:customStyle="1" w:styleId="A1263F3F8F57450E84D74CFFCB608FE3">
    <w:name w:val="A1263F3F8F57450E84D74CFFCB608FE3"/>
    <w:rsid w:val="00D6747A"/>
  </w:style>
  <w:style w:type="paragraph" w:customStyle="1" w:styleId="8EB2EC1B418E4FF0B9629E6D814BC6FD">
    <w:name w:val="8EB2EC1B418E4FF0B9629E6D814BC6FD"/>
    <w:rsid w:val="00D6747A"/>
  </w:style>
  <w:style w:type="paragraph" w:customStyle="1" w:styleId="E12336CAD18F4A2B9E57D07E5A31A40E">
    <w:name w:val="E12336CAD18F4A2B9E57D07E5A31A40E"/>
    <w:rsid w:val="00D6747A"/>
  </w:style>
  <w:style w:type="paragraph" w:customStyle="1" w:styleId="A74B4EA0562B4336A558721ED06C669D">
    <w:name w:val="A74B4EA0562B4336A558721ED06C669D"/>
    <w:rsid w:val="00D6747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Zambia</GEFCountry>
    <Classification xmlns="ceb00776-aa5c-4fc8-b6fe-5f035152e4b6">Public</Classification>
    <Country1 xmlns="ceb00776-aa5c-4fc8-b6fe-5f035152e4b6" xsi:nil="true"/>
    <DocPrefix xmlns="ceb00776-aa5c-4fc8-b6fe-5f035152e4b6">WB's PCN, PID, PAD, ISDS, Decision Meeting Minute</DocPrefix>
    <GEFID xmlns="ceb00776-aa5c-4fc8-b6fe-5f035152e4b6">9852</GEFID>
    <ProjectType xmlns="ceb00776-aa5c-4fc8-b6fe-5f035152e4b6">FSP</ProjectType>
    <GEFProjectID xmlns="ceb00776-aa5c-4fc8-b6fe-5f035152e4b6">2da26170-df7c-e811-8124-3863bb2e1360</GEFProjectID>
    <DocActive xmlns="ceb00776-aa5c-4fc8-b6fe-5f035152e4b6">No</DocActive>
    <DocCategory xmlns="ceb00776-aa5c-4fc8-b6fe-5f035152e4b6">Project Document</DocCategory>
    <FocalArea xmlns="ceb00776-aa5c-4fc8-b6fe-5f035152e4b6">Chemicals and Waste</FocalArea>
    <DocType xmlns="ceb00776-aa5c-4fc8-b6fe-5f035152e4b6">Roadmap</DocType>
    <ProjectTitle xmlns="ceb00776-aa5c-4fc8-b6fe-5f035152e4b6">Africa Environmental Health and Pollution Management Project – Zambia</ProjectTitle>
    <TrustFundType xmlns="ceb00776-aa5c-4fc8-b6fe-5f035152e4b6">GET</TrustFundType>
    <TaxCatchAll xmlns="3e02667f-0271-471b-bd6e-11a2e16def1d"/>
    <DocumentTitle xmlns="ceb00776-aa5c-4fc8-b6fe-5f035152e4b6">P167788-PID-ISDS-AFR EHMP-March2020</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AB4DC6-DF69-4E2C-AA72-41B2B45C1789}">
  <ds:schemaRefs>
    <ds:schemaRef ds:uri="http://schemas.microsoft.com/sharepoint/v3/contenttype/forms"/>
  </ds:schemaRefs>
</ds:datastoreItem>
</file>

<file path=customXml/itemProps2.xml><?xml version="1.0" encoding="utf-8"?>
<ds:datastoreItem xmlns:ds="http://schemas.openxmlformats.org/officeDocument/2006/customXml" ds:itemID="{9D9500B6-F66B-4E03-8A4D-DE701A776338}"/>
</file>

<file path=customXml/itemProps3.xml><?xml version="1.0" encoding="utf-8"?>
<ds:datastoreItem xmlns:ds="http://schemas.openxmlformats.org/officeDocument/2006/customXml" ds:itemID="{188F7885-CDA7-45EE-9EAC-EBE3C6FB394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F3F416E-65B7-4984-AC78-69A9B1842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135</Pages>
  <Words>55134</Words>
  <Characters>314264</Characters>
  <Application>Microsoft Office Word</Application>
  <DocSecurity>0</DocSecurity>
  <Lines>2618</Lines>
  <Paragraphs>737</Paragraphs>
  <ScaleCrop>false</ScaleCrop>
  <HeadingPairs>
    <vt:vector size="2" baseType="variant">
      <vt:variant>
        <vt:lpstr>Title</vt:lpstr>
      </vt:variant>
      <vt:variant>
        <vt:i4>1</vt:i4>
      </vt:variant>
    </vt:vector>
  </HeadingPairs>
  <TitlesOfParts>
    <vt:vector size="1" baseType="lpstr">
      <vt:lpstr>Project Information Document-Integrated Safeguards Data Sheet</vt:lpstr>
    </vt:vector>
  </TitlesOfParts>
  <Company/>
  <LinksUpToDate>false</LinksUpToDate>
  <CharactersWithSpaces>368661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Information Document-Integrated Safeguards Data Sheet</dc:title>
  <dc:creator>Abdelaziz Lagnaoui</dc:creator>
  <cp:lastModifiedBy>Gayatri Kanungo</cp:lastModifiedBy>
  <cp:revision>154</cp:revision>
  <cp:lastPrinted>2020-03-12T16:51:00Z</cp:lastPrinted>
  <dcterms:created xsi:type="dcterms:W3CDTF">2020-03-12T16:51:00Z</dcterms:created>
  <dcterms:modified xsi:type="dcterms:W3CDTF">2020-03-17T02:15:00Z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LikedBy">
    <vt:lpwstr/>
  </property>
  <property fmtid="{D5CDD505-2E9C-101B-9397-08002B2CF9AE}" pid="4" name="RatedBy">
    <vt:lpwstr/>
  </property>
</Properties>
</file>